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A00C5F">
      <w:pPr>
        <w:widowControl w:val="0"/>
        <w:autoSpaceDE w:val="0"/>
        <w:autoSpaceDN w:val="0"/>
        <w:adjustRightInd w:val="0"/>
        <w:spacing w:after="0" w:line="240" w:lineRule="auto"/>
        <w:jc w:val="center"/>
        <w:rPr>
          <w:rFonts w:ascii="Times New Roman CYR" w:hAnsi="Times New Roman CYR" w:cs="Times New Roman CYR"/>
          <w:sz w:val="28"/>
          <w:szCs w:val="28"/>
        </w:rPr>
      </w:pPr>
      <w:bookmarkStart w:id="0" w:name="_GoBack"/>
      <w:bookmarkEnd w:id="0"/>
      <w:r>
        <w:rPr>
          <w:rFonts w:ascii="Times New Roman CYR" w:hAnsi="Times New Roman CYR" w:cs="Times New Roman CYR"/>
          <w:b/>
          <w:bCs/>
          <w:sz w:val="28"/>
          <w:szCs w:val="28"/>
        </w:rPr>
        <w:t>Титульний аркуш</w:t>
      </w:r>
    </w:p>
    <w:p w:rsidR="00000000" w:rsidRDefault="00A00C5F">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0"/>
      </w:tblGrid>
      <w:tr w:rsidR="00000000">
        <w:tblPrEx>
          <w:tblCellMar>
            <w:top w:w="0" w:type="dxa"/>
            <w:bottom w:w="0" w:type="dxa"/>
          </w:tblCellMar>
        </w:tblPrEx>
        <w:trPr>
          <w:trHeight w:val="300"/>
        </w:trPr>
        <w:tc>
          <w:tcPr>
            <w:tcW w:w="5500" w:type="dxa"/>
            <w:tcBorders>
              <w:top w:val="nil"/>
              <w:left w:val="nil"/>
              <w:bottom w:val="single" w:sz="6" w:space="0" w:color="auto"/>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27.12.2023</w:t>
            </w:r>
          </w:p>
        </w:tc>
      </w:tr>
      <w:tr w:rsidR="00000000">
        <w:tblPrEx>
          <w:tblCellMar>
            <w:top w:w="0" w:type="dxa"/>
            <w:bottom w:w="0" w:type="dxa"/>
          </w:tblCellMar>
        </w:tblPrEx>
        <w:trPr>
          <w:trHeight w:val="300"/>
        </w:trPr>
        <w:tc>
          <w:tcPr>
            <w:tcW w:w="55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(дата реєстрації емітентом електронного документа)</w:t>
            </w:r>
          </w:p>
        </w:tc>
      </w:tr>
      <w:tr w:rsidR="00000000">
        <w:tblPrEx>
          <w:tblCellMar>
            <w:top w:w="0" w:type="dxa"/>
            <w:bottom w:w="0" w:type="dxa"/>
          </w:tblCellMar>
        </w:tblPrEx>
        <w:trPr>
          <w:trHeight w:val="300"/>
        </w:trPr>
        <w:tc>
          <w:tcPr>
            <w:tcW w:w="5500" w:type="dxa"/>
            <w:tcBorders>
              <w:top w:val="nil"/>
              <w:left w:val="nil"/>
              <w:bottom w:val="single" w:sz="6" w:space="0" w:color="auto"/>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23/2</w:t>
            </w:r>
          </w:p>
        </w:tc>
      </w:tr>
      <w:tr w:rsidR="00000000">
        <w:tblPrEx>
          <w:tblCellMar>
            <w:top w:w="0" w:type="dxa"/>
            <w:bottom w:w="0" w:type="dxa"/>
          </w:tblCellMar>
        </w:tblPrEx>
        <w:trPr>
          <w:trHeight w:val="300"/>
        </w:trPr>
        <w:tc>
          <w:tcPr>
            <w:tcW w:w="55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rsidR="00000000" w:rsidRDefault="00A00C5F">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0"/>
          <w:szCs w:val="20"/>
        </w:rPr>
        <w:tab/>
      </w:r>
      <w:r>
        <w:rPr>
          <w:rFonts w:ascii="Times New Roman CYR" w:hAnsi="Times New Roman CYR" w:cs="Times New Roman CYR"/>
          <w:sz w:val="24"/>
          <w:szCs w:val="24"/>
        </w:rPr>
        <w:t xml:space="preserve">Підтверджую ідентичність та достовірність інформації, що розкрита відповідно до вимог Положення про розкриття </w:t>
      </w:r>
      <w:r>
        <w:rPr>
          <w:rFonts w:ascii="Times New Roman CYR" w:hAnsi="Times New Roman CYR" w:cs="Times New Roman CYR"/>
          <w:sz w:val="24"/>
          <w:szCs w:val="24"/>
        </w:rPr>
        <w:t>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w:t>
      </w:r>
      <w:r>
        <w:rPr>
          <w:rFonts w:ascii="Times New Roman CYR" w:hAnsi="Times New Roman CYR" w:cs="Times New Roman CYR"/>
          <w:sz w:val="24"/>
          <w:szCs w:val="24"/>
        </w:rPr>
        <w:t>ложення).</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640"/>
        <w:gridCol w:w="550"/>
        <w:gridCol w:w="1020"/>
        <w:gridCol w:w="50"/>
        <w:gridCol w:w="500"/>
        <w:gridCol w:w="4320"/>
      </w:tblGrid>
      <w:tr w:rsidR="00000000">
        <w:tblPrEx>
          <w:tblCellMar>
            <w:top w:w="0" w:type="dxa"/>
            <w:bottom w:w="0" w:type="dxa"/>
          </w:tblCellMar>
        </w:tblPrEx>
        <w:trPr>
          <w:trHeight w:val="200"/>
        </w:trPr>
        <w:tc>
          <w:tcPr>
            <w:tcW w:w="3640" w:type="dxa"/>
            <w:tcBorders>
              <w:top w:val="nil"/>
              <w:left w:val="nil"/>
              <w:bottom w:val="single" w:sz="6" w:space="0" w:color="auto"/>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w:t>
            </w:r>
          </w:p>
        </w:tc>
        <w:tc>
          <w:tcPr>
            <w:tcW w:w="550" w:type="dxa"/>
            <w:tcBorders>
              <w:top w:val="nil"/>
              <w:left w:val="nil"/>
              <w:bottom w:val="nil"/>
              <w:right w:val="nil"/>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020" w:type="dxa"/>
            <w:tcBorders>
              <w:top w:val="nil"/>
              <w:left w:val="nil"/>
              <w:bottom w:val="single" w:sz="6" w:space="0" w:color="auto"/>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550" w:type="dxa"/>
            <w:gridSpan w:val="2"/>
            <w:tcBorders>
              <w:top w:val="nil"/>
              <w:left w:val="nil"/>
              <w:bottom w:val="nil"/>
              <w:right w:val="nil"/>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320" w:type="dxa"/>
            <w:tcBorders>
              <w:top w:val="nil"/>
              <w:left w:val="nil"/>
              <w:bottom w:val="single" w:sz="6" w:space="0" w:color="auto"/>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Яхниця I.О.</w:t>
            </w:r>
          </w:p>
        </w:tc>
      </w:tr>
      <w:tr w:rsidR="00000000">
        <w:tblPrEx>
          <w:tblCellMar>
            <w:top w:w="0" w:type="dxa"/>
            <w:bottom w:w="0" w:type="dxa"/>
          </w:tblCellMar>
        </w:tblPrEx>
        <w:trPr>
          <w:trHeight w:val="200"/>
        </w:trPr>
        <w:tc>
          <w:tcPr>
            <w:tcW w:w="3640" w:type="dxa"/>
            <w:tcBorders>
              <w:top w:val="nil"/>
              <w:left w:val="nil"/>
              <w:bottom w:val="nil"/>
              <w:right w:val="nil"/>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1620" w:type="dxa"/>
            <w:gridSpan w:val="3"/>
            <w:tcBorders>
              <w:top w:val="nil"/>
              <w:left w:val="nil"/>
              <w:bottom w:val="nil"/>
              <w:right w:val="nil"/>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(підпис)</w:t>
            </w:r>
          </w:p>
        </w:tc>
        <w:tc>
          <w:tcPr>
            <w:tcW w:w="4820" w:type="dxa"/>
            <w:gridSpan w:val="2"/>
            <w:tcBorders>
              <w:top w:val="nil"/>
              <w:left w:val="nil"/>
              <w:bottom w:val="nil"/>
              <w:right w:val="nil"/>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 емітента)</w:t>
            </w:r>
          </w:p>
        </w:tc>
      </w:tr>
    </w:tbl>
    <w:p w:rsidR="00000000" w:rsidRDefault="00A00C5F">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A00C5F">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Проміжна інформація емітента цінних паперів</w:t>
      </w:r>
    </w:p>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 квартал 2023 року</w:t>
      </w:r>
    </w:p>
    <w:p w:rsidR="00000000" w:rsidRDefault="00A00C5F">
      <w:pPr>
        <w:widowControl w:val="0"/>
        <w:autoSpaceDE w:val="0"/>
        <w:autoSpaceDN w:val="0"/>
        <w:adjustRightInd w:val="0"/>
        <w:spacing w:after="0" w:line="240" w:lineRule="auto"/>
        <w:rPr>
          <w:rFonts w:ascii="Times New Roman CYR" w:hAnsi="Times New Roman CYR" w:cs="Times New Roman CYR"/>
          <w:b/>
          <w:bCs/>
          <w:sz w:val="24"/>
          <w:szCs w:val="24"/>
        </w:rPr>
      </w:pPr>
    </w:p>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 Загальні відомості</w:t>
      </w:r>
    </w:p>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Повне найменування емітента: Приватне акцiонерне товариство "Страхова компанiя "САТIС"</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 Приватне акціонерне товариство</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Ідентифікаційний код юридичної особи: 22963118</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Місцезнаходження: 03028, мiсто Київ, Саперно-Слобi</w:t>
      </w:r>
      <w:r>
        <w:rPr>
          <w:rFonts w:ascii="Times New Roman CYR" w:hAnsi="Times New Roman CYR" w:cs="Times New Roman CYR"/>
          <w:sz w:val="24"/>
          <w:szCs w:val="24"/>
        </w:rPr>
        <w:t>дська, 22</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5. Міжміський код, телефон та факс: 0445021038, </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Адреса електронної пошти: office@satis.kiev.ua</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Найменування, ідентифікаційний код юридичної особи, країна реєстрації юридичної особи та номер свідоцтва про включення до Реєстру осіб, уповнова</w:t>
      </w:r>
      <w:r>
        <w:rPr>
          <w:rFonts w:ascii="Times New Roman CYR" w:hAnsi="Times New Roman CYR" w:cs="Times New Roman CYR"/>
          <w:sz w:val="24"/>
          <w:szCs w:val="24"/>
        </w:rPr>
        <w:t xml:space="preserve">жених надавати інформаційні послуги на фондовому ринку, особи, яка здійснює оприлюднення регульованої інформації від імені учасника фондового ринку (у разі здійснення оприлюднення): </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8. Найменування, ідентифікаційний код юридичної особи, країна реєстрації </w:t>
      </w:r>
      <w:r>
        <w:rPr>
          <w:rFonts w:ascii="Times New Roman CYR" w:hAnsi="Times New Roman CYR" w:cs="Times New Roman CYR"/>
          <w:sz w:val="24"/>
          <w:szCs w:val="24"/>
        </w:rPr>
        <w:t>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w:t>
      </w:r>
      <w:r>
        <w:rPr>
          <w:rFonts w:ascii="Times New Roman CYR" w:hAnsi="Times New Roman CYR" w:cs="Times New Roman CYR"/>
          <w:sz w:val="24"/>
          <w:szCs w:val="24"/>
        </w:rPr>
        <w:t>у (у разі, якщо емітент не подає Інформацію до Національної комісії з цінних паперів та фондового ринку безпосередньо): Державна установа "Агентство з розвитку iнфраструктури фондового ринку України", 21676262, Україна, DR/00002/ARM</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II. Дані про дату та м</w:t>
      </w:r>
      <w:r>
        <w:rPr>
          <w:rFonts w:ascii="Times New Roman CYR" w:hAnsi="Times New Roman CYR" w:cs="Times New Roman CYR"/>
          <w:b/>
          <w:bCs/>
          <w:sz w:val="24"/>
          <w:szCs w:val="24"/>
        </w:rPr>
        <w:t>ісце оприлюднення проміжної інформації</w:t>
      </w:r>
    </w:p>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450"/>
        <w:gridCol w:w="4130"/>
        <w:gridCol w:w="1500"/>
      </w:tblGrid>
      <w:tr w:rsidR="00000000">
        <w:tblPrEx>
          <w:tblCellMar>
            <w:top w:w="0" w:type="dxa"/>
            <w:bottom w:w="0" w:type="dxa"/>
          </w:tblCellMar>
        </w:tblPrEx>
        <w:trPr>
          <w:trHeight w:val="300"/>
        </w:trPr>
        <w:tc>
          <w:tcPr>
            <w:tcW w:w="445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Проміжну інформацію розміщено на власному веб-сайті учасника фондового ринку</w:t>
            </w:r>
          </w:p>
        </w:tc>
        <w:tc>
          <w:tcPr>
            <w:tcW w:w="4130" w:type="dxa"/>
            <w:tcBorders>
              <w:top w:val="nil"/>
              <w:left w:val="nil"/>
              <w:bottom w:val="single" w:sz="6" w:space="0" w:color="auto"/>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www.satis.ua</w:t>
            </w:r>
          </w:p>
        </w:tc>
        <w:tc>
          <w:tcPr>
            <w:tcW w:w="1500" w:type="dxa"/>
            <w:tcBorders>
              <w:top w:val="nil"/>
              <w:left w:val="nil"/>
              <w:bottom w:val="single" w:sz="6" w:space="0" w:color="auto"/>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30.12.2023</w:t>
            </w:r>
          </w:p>
        </w:tc>
      </w:tr>
      <w:tr w:rsidR="00000000">
        <w:tblPrEx>
          <w:tblCellMar>
            <w:top w:w="0" w:type="dxa"/>
            <w:bottom w:w="0" w:type="dxa"/>
          </w:tblCellMar>
        </w:tblPrEx>
        <w:trPr>
          <w:trHeight w:val="300"/>
        </w:trPr>
        <w:tc>
          <w:tcPr>
            <w:tcW w:w="445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0"/>
                <w:szCs w:val="20"/>
              </w:rPr>
            </w:pPr>
          </w:p>
        </w:tc>
        <w:tc>
          <w:tcPr>
            <w:tcW w:w="413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сторінки)</w:t>
            </w:r>
          </w:p>
        </w:tc>
        <w:tc>
          <w:tcPr>
            <w:tcW w:w="15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000000" w:rsidRDefault="00A00C5F">
      <w:pPr>
        <w:widowControl w:val="0"/>
        <w:autoSpaceDE w:val="0"/>
        <w:autoSpaceDN w:val="0"/>
        <w:adjustRightInd w:val="0"/>
        <w:spacing w:after="0" w:line="240" w:lineRule="auto"/>
        <w:rPr>
          <w:rFonts w:ascii="Times New Roman CYR" w:hAnsi="Times New Roman CYR" w:cs="Times New Roman CYR"/>
          <w:sz w:val="20"/>
          <w:szCs w:val="20"/>
        </w:rPr>
        <w:sectPr w:rsidR="00000000">
          <w:pgSz w:w="12240" w:h="15840"/>
          <w:pgMar w:top="850" w:right="850" w:bottom="850" w:left="1400" w:header="720" w:footer="720" w:gutter="0"/>
          <w:cols w:space="720"/>
          <w:noEndnote/>
        </w:sectPr>
      </w:pPr>
    </w:p>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Зміст</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8"/>
          <w:szCs w:val="28"/>
        </w:rPr>
        <w:tab/>
      </w:r>
      <w:r>
        <w:rPr>
          <w:rFonts w:ascii="Times New Roman CYR" w:hAnsi="Times New Roman CYR" w:cs="Times New Roman CYR"/>
          <w:sz w:val="24"/>
          <w:szCs w:val="24"/>
        </w:rPr>
        <w:t>Відмітьте (Х), якщо відповідна інформація міститься у проміжній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000"/>
        <w:gridCol w:w="1000"/>
      </w:tblGrid>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Основні відомості про емітента</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про одержані ліцензії на окремі види діяльності</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посадових осіб емітента</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Інформація про господарську та фінансову діяльність емітента:</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1) інформація про зобов'язання та забезпечення емітента</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 інформація про обсяги виробництва та реалізації основних видів продукції</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3) інформація про собівартість реалізован</w:t>
            </w:r>
            <w:r>
              <w:rPr>
                <w:rFonts w:ascii="Times New Roman CYR" w:hAnsi="Times New Roman CYR" w:cs="Times New Roman CYR"/>
                <w:sz w:val="24"/>
                <w:szCs w:val="24"/>
              </w:rPr>
              <w:t>ої продукції</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Відомості про цінні папери емітента:</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1) інформація про випуски акцій емітента</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 інформація про облігації емітента</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3) інформація про інші цінні папери, випущені емітентом</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4) інформація про похідні цінні папери емітента</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6. Відомості щодо участі емітента в юридичних особах </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Інформація щодо корпоративного секретаря</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 Інформація про вчинення значних правочинів</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9. Інформація про вчинення прав</w:t>
            </w:r>
            <w:r>
              <w:rPr>
                <w:rFonts w:ascii="Times New Roman CYR" w:hAnsi="Times New Roman CYR" w:cs="Times New Roman CYR"/>
                <w:sz w:val="24"/>
                <w:szCs w:val="24"/>
              </w:rPr>
              <w:t xml:space="preserve">очинів, щодо вчинення яких є заінтересованість, осіб, заінтересованих у вчиненні товариством правочинів із заінтересованістю, та обставини, існування яких створює заінтересованість </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10. Інформація про будь-які обмеження щодо обігу цінних паперів емітента</w:t>
            </w:r>
            <w:r>
              <w:rPr>
                <w:rFonts w:ascii="Times New Roman CYR" w:hAnsi="Times New Roman CYR" w:cs="Times New Roman CYR"/>
                <w:sz w:val="24"/>
                <w:szCs w:val="24"/>
              </w:rPr>
              <w:t>, в тому числі необхідність отримання від емітента або інших власників цінних паперів згоди на відчуження таких цінних паперів та інформація про загальну кількість голосуючих акцій та кількість голосуючих акцій, права голосу за якими обмежено, а також кіль</w:t>
            </w:r>
            <w:r>
              <w:rPr>
                <w:rFonts w:ascii="Times New Roman CYR" w:hAnsi="Times New Roman CYR" w:cs="Times New Roman CYR"/>
                <w:sz w:val="24"/>
                <w:szCs w:val="24"/>
              </w:rPr>
              <w:t>кість голосуючих акцій, права голосу за якими за результатами обмеження таких прав передано іншій особі</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11. Інформація про забезпечення випуску боргових цінних паперів</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12. Інформація про конвертацію цінних паперів</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13. Інформація про заміну управителя</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 Інформація про керуючого іпотекою</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15. Інформація про трансформацію (перетворення) іпотечних активів</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16. Інформація про зміни в реєстрі забезпечення іпотечних сертифікатів за кожним консолідованим іпотечним боргом</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17. Інформація про іпотечне по</w:t>
            </w:r>
            <w:r>
              <w:rPr>
                <w:rFonts w:ascii="Times New Roman CYR" w:hAnsi="Times New Roman CYR" w:cs="Times New Roman CYR"/>
                <w:sz w:val="24"/>
                <w:szCs w:val="24"/>
              </w:rPr>
              <w:t>криття:</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1) інформація про заміну іпотечних активів у складі іпотечного покриття</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2)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3) інформація про співвідношення розміру іпотечного покриття з розміром (сумою) зобов'язань за іпотечними облігаціями з цим іпотечним покриттям на кожну дату після замін іпотечних активів у складі іпотечного покриття, які відбулись протягом звітного пе</w:t>
            </w:r>
            <w:r>
              <w:rPr>
                <w:rFonts w:ascii="Times New Roman CYR" w:hAnsi="Times New Roman CYR" w:cs="Times New Roman CYR"/>
                <w:sz w:val="24"/>
                <w:szCs w:val="24"/>
              </w:rPr>
              <w:t>ріоду</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4) інформація про заміни іпотечних активів у складі іпотечного покриття або включення нових іпотечних активів до складу іпотечного покриття </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18. Інформація про заміну фінансової установи, яка здійснює обслуговування іпотечних активів</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19. Пр</w:t>
            </w:r>
            <w:r>
              <w:rPr>
                <w:rFonts w:ascii="Times New Roman CYR" w:hAnsi="Times New Roman CYR" w:cs="Times New Roman CYR"/>
                <w:sz w:val="24"/>
                <w:szCs w:val="24"/>
              </w:rPr>
              <w:t>оміжна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20. Звіт про стан об'єкта нерухомості (у разі емісії цільових облігацій підприємс</w:t>
            </w:r>
            <w:r>
              <w:rPr>
                <w:rFonts w:ascii="Times New Roman CYR" w:hAnsi="Times New Roman CYR" w:cs="Times New Roman CYR"/>
                <w:sz w:val="24"/>
                <w:szCs w:val="24"/>
              </w:rPr>
              <w:t>тв, виконання зобов'язань за якими здійснюється шляхом передачі об'єкта (частини об'єкта) житлового будівництва)</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21. Проміжна фінансова звітність емітента, складена за положеннями (стандартами) бухгалтерського обліку</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22. Проміжна фінансова звітність ем</w:t>
            </w:r>
            <w:r>
              <w:rPr>
                <w:rFonts w:ascii="Times New Roman CYR" w:hAnsi="Times New Roman CYR" w:cs="Times New Roman CYR"/>
                <w:sz w:val="24"/>
                <w:szCs w:val="24"/>
              </w:rPr>
              <w:t>ітента, складена за міжнародними стандартами фінансової звітності</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 Висновок про огляд проміжної фінансової звітності, підготовлений аудитором (аудиторською фірмою)</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24. Проміжний звіт керівництва</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9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25. Твердження щодо проміжної інформації</w:t>
            </w:r>
          </w:p>
        </w:tc>
        <w:tc>
          <w:tcPr>
            <w:tcW w:w="1000" w:type="dxa"/>
            <w:tcBorders>
              <w:top w:val="nil"/>
              <w:left w:val="nil"/>
              <w:bottom w:val="nil"/>
              <w:right w:val="nil"/>
            </w:tcBorders>
            <w:vAlign w:val="bottom"/>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000000">
        <w:tblPrEx>
          <w:tblCellMar>
            <w:top w:w="0" w:type="dxa"/>
            <w:bottom w:w="0" w:type="dxa"/>
          </w:tblCellMar>
        </w:tblPrEx>
        <w:trPr>
          <w:trHeight w:val="300"/>
        </w:trPr>
        <w:tc>
          <w:tcPr>
            <w:tcW w:w="10000" w:type="dxa"/>
            <w:gridSpan w:val="2"/>
            <w:tcBorders>
              <w:top w:val="nil"/>
              <w:left w:val="nil"/>
              <w:bottom w:val="nil"/>
              <w:right w:val="nil"/>
            </w:tcBorders>
            <w:vAlign w:val="bottom"/>
          </w:tcPr>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26. Примітки:</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p>
        </w:tc>
      </w:tr>
    </w:tbl>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ІІІ. Основні відомості про емітента</w:t>
      </w:r>
    </w:p>
    <w:p w:rsidR="00000000" w:rsidRDefault="00A00C5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 Повне найменування</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Приватне акцiонерне товариство "Страхова компанiя "САТIС"</w:t>
      </w:r>
    </w:p>
    <w:p w:rsidR="00000000" w:rsidRDefault="00A00C5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2. Дата проведення державної реєстрації</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10.03.1995</w:t>
      </w:r>
    </w:p>
    <w:p w:rsidR="00000000" w:rsidRDefault="00A00C5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3. Територія (область)</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м.Київ</w:t>
      </w:r>
    </w:p>
    <w:p w:rsidR="00000000" w:rsidRDefault="00A00C5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4. Статутний капітал (грн) </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16524360</w:t>
      </w:r>
    </w:p>
    <w:p w:rsidR="00000000" w:rsidRDefault="00A00C5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5. Відсоток акцій у статутному капіталі, що належать державі</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000000" w:rsidRDefault="00A00C5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6. Відсоток акцій (часток, паїв) статутного капіталу, що передано до статутного капіталу державного (національного) акціонерного товариства та/або холдинг</w:t>
      </w:r>
      <w:r>
        <w:rPr>
          <w:rFonts w:ascii="Times New Roman CYR" w:hAnsi="Times New Roman CYR" w:cs="Times New Roman CYR"/>
          <w:b/>
          <w:bCs/>
          <w:sz w:val="24"/>
          <w:szCs w:val="24"/>
        </w:rPr>
        <w:t>ової компанії</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000000" w:rsidRDefault="00A00C5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7. Середня кількість працівників (осіб)</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15</w:t>
      </w:r>
    </w:p>
    <w:p w:rsidR="00000000" w:rsidRDefault="00A00C5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8. Основні види діяльності із зазначенням найменування виду діяльності та коду за КВЕД</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65.12 - Iншi види страхування, крiм страхування життя</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65.20 - Перестрахування</w:t>
      </w:r>
    </w:p>
    <w:p w:rsidR="00000000" w:rsidRDefault="00A00C5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9. Органи управління підприє</w:t>
      </w:r>
      <w:r>
        <w:rPr>
          <w:rFonts w:ascii="Times New Roman CYR" w:hAnsi="Times New Roman CYR" w:cs="Times New Roman CYR"/>
          <w:b/>
          <w:bCs/>
          <w:sz w:val="24"/>
          <w:szCs w:val="24"/>
        </w:rPr>
        <w:t>мства</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Загальнi збори акцiонерiвНаглядова радаГенеральний директор</w:t>
      </w:r>
    </w:p>
    <w:p w:rsidR="00000000" w:rsidRDefault="00A00C5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10. Засновники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920"/>
        <w:gridCol w:w="4000"/>
        <w:gridCol w:w="2000"/>
      </w:tblGrid>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Прізвище, ім'я, по батькові, якщо засновник - фізична особа; найменування, якщо засновник - юридична особа</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Місцезнаходження, якщо засновник - юридична особа</w:t>
            </w:r>
          </w:p>
        </w:tc>
        <w:tc>
          <w:tcPr>
            <w:tcW w:w="2000"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b/>
                <w:bCs/>
              </w:rPr>
              <w:t>Ідентифікаційний код юридичної особи, якщо засновник - юридична особа</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Яхниця Iгор Олександрович</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1929704015</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Яхниця Олександр Iгоревич</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3063622099</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Яхниця Iрина Сергiївна</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3038607089</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Коваль Сергiй Леонiдович</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1924803299</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ПП "ФIНВЕСТ"</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03187 м. Київ, вул. Теремкiвська, 12 кв. 33</w:t>
            </w:r>
          </w:p>
        </w:tc>
        <w:tc>
          <w:tcPr>
            <w:tcW w:w="2000"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33737873</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 "КАРБОН"</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01133 м. Київ, пров. Лабораторний, 1</w:t>
            </w:r>
          </w:p>
        </w:tc>
        <w:tc>
          <w:tcPr>
            <w:tcW w:w="2000"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21647378</w:t>
            </w:r>
          </w:p>
        </w:tc>
      </w:tr>
      <w:tr w:rsidR="00000000">
        <w:tblPrEx>
          <w:tblCellMar>
            <w:top w:w="0" w:type="dxa"/>
            <w:bottom w:w="0" w:type="dxa"/>
          </w:tblCellMar>
        </w:tblPrEx>
        <w:trPr>
          <w:trHeight w:val="200"/>
        </w:trPr>
        <w:tc>
          <w:tcPr>
            <w:tcW w:w="392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АКБ "СХIДНО-ЄВРОПЕЙСЬКИЙ БАНК"</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01042 м. Київ, булв. Дружби Народiв, 17/5</w:t>
            </w:r>
          </w:p>
        </w:tc>
        <w:tc>
          <w:tcPr>
            <w:tcW w:w="2000"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19364130</w:t>
            </w:r>
          </w:p>
        </w:tc>
      </w:tr>
    </w:tbl>
    <w:p w:rsidR="00000000" w:rsidRDefault="00A00C5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Якщо кількість фізичних осіб - засновників емітента перевищує двадцять, зазначається загальна кількість фізичних осіб:</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14</w:t>
      </w:r>
    </w:p>
    <w:p w:rsidR="00000000" w:rsidRDefault="00A00C5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11. Банки, що обслуговують емітента</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1) найменування банку (філії, відділення банку), який обслуговує емітента за поточним рахунком у </w:t>
      </w:r>
      <w:r>
        <w:rPr>
          <w:rFonts w:ascii="Times New Roman CYR" w:hAnsi="Times New Roman CYR" w:cs="Times New Roman CYR"/>
          <w:sz w:val="24"/>
          <w:szCs w:val="24"/>
        </w:rPr>
        <w:t>національній валюті</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АТ КБ "ПРИВАТБАНК", МФО 305299</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IBAN</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UA59305299000002505046200629</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поточний рахунок</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UA59305299000002505046200629</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найменування банку (філії, відділення банку), який обслуговує емітента за поточним рахунком в іноземній валюті</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А</w:t>
      </w:r>
      <w:r>
        <w:rPr>
          <w:rFonts w:ascii="Times New Roman CYR" w:hAnsi="Times New Roman CYR" w:cs="Times New Roman CYR"/>
          <w:sz w:val="24"/>
          <w:szCs w:val="24"/>
        </w:rPr>
        <w:t>Т КБ "ПРИВАТБАНК", МФО 305299</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IBAN</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UA413052990000026505046200856</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поточний рахунок</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UA413052990000026505046200856</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IV. Інформація про одержані ліцензії на окремі види діяльності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000"/>
        <w:gridCol w:w="1200"/>
      </w:tblGrid>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закінчення дії ліцензії (за наявності)</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200"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наземного транспорту (крiм залiзничного)</w:t>
            </w:r>
          </w:p>
        </w:tc>
        <w:tc>
          <w:tcPr>
            <w:tcW w:w="15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569058</w:t>
            </w:r>
          </w:p>
        </w:tc>
        <w:tc>
          <w:tcPr>
            <w:tcW w:w="1065"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вантажiв та багажу (вантажобагажу)</w:t>
            </w:r>
          </w:p>
        </w:tc>
        <w:tc>
          <w:tcPr>
            <w:tcW w:w="15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569052</w:t>
            </w:r>
          </w:p>
        </w:tc>
        <w:tc>
          <w:tcPr>
            <w:tcW w:w="1065"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вiдповiдальностi перед третiми особами  крiм цивiльної вiдповiдальностi власникiв наземного транспорту, вiдповiдальностi власникiв повiтряного транспорту, вiдповiдальностi власникiв водного транспорту (включаючи вiдповiдальнiсть перевiзника)</w:t>
            </w:r>
          </w:p>
        </w:tc>
        <w:tc>
          <w:tcPr>
            <w:tcW w:w="15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w:t>
            </w:r>
            <w:r>
              <w:rPr>
                <w:rFonts w:ascii="Times New Roman CYR" w:hAnsi="Times New Roman CYR" w:cs="Times New Roman CYR"/>
              </w:rPr>
              <w:t>рiя АГ № 569060</w:t>
            </w:r>
          </w:p>
        </w:tc>
        <w:tc>
          <w:tcPr>
            <w:tcW w:w="1065"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вiд вогневих ризикiв та ризикiв стихiйних явищ</w:t>
            </w:r>
          </w:p>
        </w:tc>
        <w:tc>
          <w:tcPr>
            <w:tcW w:w="15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569053</w:t>
            </w:r>
          </w:p>
        </w:tc>
        <w:tc>
          <w:tcPr>
            <w:tcW w:w="1065"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майна  крiм залiзничного, наземного, повiтряного, водного транспорту (морського внутрiшнього та iнших видiв водного транспорту), вантажiв та багажу (вантажобагажу)</w:t>
            </w:r>
          </w:p>
        </w:tc>
        <w:tc>
          <w:tcPr>
            <w:tcW w:w="15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569055</w:t>
            </w:r>
          </w:p>
        </w:tc>
        <w:tc>
          <w:tcPr>
            <w:tcW w:w="1065"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w:t>
            </w:r>
            <w:r>
              <w:rPr>
                <w:rFonts w:ascii="Times New Roman CYR" w:hAnsi="Times New Roman CYR" w:cs="Times New Roman CYR"/>
              </w:rPr>
              <w:t>слуг України</w:t>
            </w:r>
          </w:p>
        </w:tc>
        <w:tc>
          <w:tcPr>
            <w:tcW w:w="120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вiд нещасних випадкiв</w:t>
            </w:r>
          </w:p>
        </w:tc>
        <w:tc>
          <w:tcPr>
            <w:tcW w:w="15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569059</w:t>
            </w:r>
          </w:p>
        </w:tc>
        <w:tc>
          <w:tcPr>
            <w:tcW w:w="1065"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фiнансових ризикiв</w:t>
            </w:r>
          </w:p>
        </w:tc>
        <w:tc>
          <w:tcPr>
            <w:tcW w:w="15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569061</w:t>
            </w:r>
          </w:p>
        </w:tc>
        <w:tc>
          <w:tcPr>
            <w:tcW w:w="1065"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здоров'я на випадок хвороби</w:t>
            </w:r>
          </w:p>
        </w:tc>
        <w:tc>
          <w:tcPr>
            <w:tcW w:w="15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569054</w:t>
            </w:r>
          </w:p>
        </w:tc>
        <w:tc>
          <w:tcPr>
            <w:tcW w:w="1065"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Страхування медичних витрат</w:t>
            </w:r>
          </w:p>
        </w:tc>
        <w:tc>
          <w:tcPr>
            <w:tcW w:w="15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569057</w:t>
            </w:r>
          </w:p>
        </w:tc>
        <w:tc>
          <w:tcPr>
            <w:tcW w:w="1065"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Медичне страхування (безперервне страхування здоров'я)</w:t>
            </w:r>
          </w:p>
        </w:tc>
        <w:tc>
          <w:tcPr>
            <w:tcW w:w="15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Серiя АГ № 569056</w:t>
            </w:r>
          </w:p>
        </w:tc>
        <w:tc>
          <w:tcPr>
            <w:tcW w:w="1065"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08.12.2010</w:t>
            </w:r>
          </w:p>
        </w:tc>
        <w:tc>
          <w:tcPr>
            <w:tcW w:w="30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регулювання ринкiв фiнансових послуг України</w:t>
            </w:r>
          </w:p>
        </w:tc>
        <w:tc>
          <w:tcPr>
            <w:tcW w:w="120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3155"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765" w:type="dxa"/>
            <w:gridSpan w:val="4"/>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Безстрокова</w:t>
            </w:r>
          </w:p>
        </w:tc>
      </w:tr>
    </w:tbl>
    <w:p w:rsidR="00000000" w:rsidRDefault="00A00C5F">
      <w:pPr>
        <w:widowControl w:val="0"/>
        <w:autoSpaceDE w:val="0"/>
        <w:autoSpaceDN w:val="0"/>
        <w:adjustRightInd w:val="0"/>
        <w:spacing w:after="0" w:line="240" w:lineRule="auto"/>
        <w:rPr>
          <w:rFonts w:ascii="Times New Roman CYR" w:hAnsi="Times New Roman CYR" w:cs="Times New Roman CYR"/>
        </w:rPr>
      </w:pPr>
    </w:p>
    <w:p w:rsidR="00000000" w:rsidRDefault="00A00C5F">
      <w:pPr>
        <w:widowControl w:val="0"/>
        <w:autoSpaceDE w:val="0"/>
        <w:autoSpaceDN w:val="0"/>
        <w:adjustRightInd w:val="0"/>
        <w:spacing w:after="0" w:line="240" w:lineRule="auto"/>
        <w:rPr>
          <w:rFonts w:ascii="Times New Roman CYR" w:hAnsi="Times New Roman CYR" w:cs="Times New Roman CYR"/>
        </w:rPr>
      </w:pPr>
    </w:p>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V. Інформація про посадових осіб емітента</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Посада</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Генеральний директор</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Прізвище, ім'я, по батькові</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Яхниця Iгор Олександрович</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Рік народження</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1952</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Освіта</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вища економiчна освiта, диплом вiд 30.06.1989 року, серiя УВ №896052</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Стаж роботи (років)</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23</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Найменування підприємства, ідентифікаційний код юридичної особи та посада, яку займав</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Iнститут фiзiологiї iменi О.О. Богомольця,  Код ЄДРПОУ 05417093,Старши</w:t>
      </w:r>
      <w:r>
        <w:rPr>
          <w:rFonts w:ascii="Times New Roman CYR" w:hAnsi="Times New Roman CYR" w:cs="Times New Roman CYR"/>
          <w:sz w:val="24"/>
          <w:szCs w:val="24"/>
        </w:rPr>
        <w:t>й науковий спiвробiтникIнститут фiзiологiї iменi О.О. Богомольця,  Код ЄДРПОУ 05417093,Старший науковий спiвробiтникIнститут фiзiологiї iменi О.О. Богомольця,  Код ЄДРПОУ, 05417093, Старший науковий спiвробiтник</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Опис</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Повноваження та обов`язки поса</w:t>
      </w:r>
      <w:r>
        <w:rPr>
          <w:rFonts w:ascii="Times New Roman CYR" w:hAnsi="Times New Roman CYR" w:cs="Times New Roman CYR"/>
          <w:sz w:val="24"/>
          <w:szCs w:val="24"/>
        </w:rPr>
        <w:t>дової особи визначенi Статутом Товариства. Посадова особа отримує заробiтну плату, встановлену згiдно з штатним розкладом. Додаткова винагорода не передбачена. Змiн у персональному складi посадових осiб за звiтний перiод не було. Непогашеної судимостi за к</w:t>
      </w:r>
      <w:r>
        <w:rPr>
          <w:rFonts w:ascii="Times New Roman CYR" w:hAnsi="Times New Roman CYR" w:cs="Times New Roman CYR"/>
          <w:sz w:val="24"/>
          <w:szCs w:val="24"/>
        </w:rPr>
        <w:t>орисливi та посадовi злочини посадова особа не має. Посадова особа не працює та не займає посад на будь-яких iнших пiдприємствах</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VII. Відомості про цінні папери емітента</w:t>
      </w:r>
    </w:p>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8"/>
          <w:szCs w:val="28"/>
        </w:rPr>
      </w:pPr>
    </w:p>
    <w:p w:rsidR="00000000" w:rsidRDefault="00A00C5F">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1. Інформація про випуски акцій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20"/>
        <w:gridCol w:w="1330"/>
        <w:gridCol w:w="2450"/>
        <w:gridCol w:w="1640"/>
        <w:gridCol w:w="1410"/>
        <w:gridCol w:w="1600"/>
        <w:gridCol w:w="1450"/>
        <w:gridCol w:w="1200"/>
        <w:gridCol w:w="1400"/>
        <w:gridCol w:w="1400"/>
      </w:tblGrid>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реєстрації випуску</w:t>
            </w:r>
          </w:p>
        </w:tc>
        <w:tc>
          <w:tcPr>
            <w:tcW w:w="133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Номе</w:t>
            </w:r>
            <w:r>
              <w:rPr>
                <w:rFonts w:ascii="Times New Roman CYR" w:hAnsi="Times New Roman CYR" w:cs="Times New Roman CYR"/>
                <w:b/>
                <w:bCs/>
              </w:rPr>
              <w:t>р свідоцтва про реєстрацію випуску</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органу, що зареєстрував випуск</w:t>
            </w:r>
          </w:p>
        </w:tc>
        <w:tc>
          <w:tcPr>
            <w:tcW w:w="164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xml:space="preserve">Міжнародний ідентифікаційний номер </w:t>
            </w:r>
          </w:p>
        </w:tc>
        <w:tc>
          <w:tcPr>
            <w:tcW w:w="141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Тип цінного папера</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Загальна номінальна вартість (грн)</w:t>
            </w:r>
          </w:p>
        </w:tc>
        <w:tc>
          <w:tcPr>
            <w:tcW w:w="1400"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Частка</w:t>
            </w:r>
            <w:r>
              <w:rPr>
                <w:rFonts w:ascii="Times New Roman CYR" w:hAnsi="Times New Roman CYR" w:cs="Times New Roman CYR"/>
                <w:b/>
                <w:bCs/>
              </w:rPr>
              <w:t xml:space="preserve"> у статутному капіталі (у відсотках)</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3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5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41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400"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25.06.1998</w:t>
            </w:r>
          </w:p>
        </w:tc>
        <w:tc>
          <w:tcPr>
            <w:tcW w:w="133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342/1/98</w:t>
            </w:r>
          </w:p>
        </w:tc>
        <w:tc>
          <w:tcPr>
            <w:tcW w:w="24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UA1010831006</w:t>
            </w:r>
          </w:p>
        </w:tc>
        <w:tc>
          <w:tcPr>
            <w:tcW w:w="141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24000</w:t>
            </w:r>
          </w:p>
        </w:tc>
        <w:tc>
          <w:tcPr>
            <w:tcW w:w="14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240000</w:t>
            </w:r>
          </w:p>
        </w:tc>
        <w:tc>
          <w:tcPr>
            <w:tcW w:w="140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28.04.1999</w:t>
            </w:r>
          </w:p>
        </w:tc>
        <w:tc>
          <w:tcPr>
            <w:tcW w:w="133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342/1/98</w:t>
            </w:r>
          </w:p>
        </w:tc>
        <w:tc>
          <w:tcPr>
            <w:tcW w:w="24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UA1010831006</w:t>
            </w:r>
          </w:p>
        </w:tc>
        <w:tc>
          <w:tcPr>
            <w:tcW w:w="141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47500</w:t>
            </w:r>
          </w:p>
        </w:tc>
        <w:tc>
          <w:tcPr>
            <w:tcW w:w="14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475000</w:t>
            </w:r>
          </w:p>
        </w:tc>
        <w:tc>
          <w:tcPr>
            <w:tcW w:w="140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23.12.1999</w:t>
            </w:r>
          </w:p>
        </w:tc>
        <w:tc>
          <w:tcPr>
            <w:tcW w:w="133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655/1/99</w:t>
            </w:r>
          </w:p>
        </w:tc>
        <w:tc>
          <w:tcPr>
            <w:tcW w:w="24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UA1010831006</w:t>
            </w:r>
          </w:p>
        </w:tc>
        <w:tc>
          <w:tcPr>
            <w:tcW w:w="141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201236</w:t>
            </w:r>
          </w:p>
        </w:tc>
        <w:tc>
          <w:tcPr>
            <w:tcW w:w="14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2012360</w:t>
            </w:r>
          </w:p>
        </w:tc>
        <w:tc>
          <w:tcPr>
            <w:tcW w:w="140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22.10.2003</w:t>
            </w:r>
          </w:p>
        </w:tc>
        <w:tc>
          <w:tcPr>
            <w:tcW w:w="133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511/1/99</w:t>
            </w:r>
          </w:p>
        </w:tc>
        <w:tc>
          <w:tcPr>
            <w:tcW w:w="24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UA1010831006</w:t>
            </w:r>
          </w:p>
        </w:tc>
        <w:tc>
          <w:tcPr>
            <w:tcW w:w="141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Документарні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w:t>
            </w:r>
          </w:p>
        </w:tc>
        <w:tc>
          <w:tcPr>
            <w:tcW w:w="14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10214360</w:t>
            </w:r>
          </w:p>
        </w:tc>
        <w:tc>
          <w:tcPr>
            <w:tcW w:w="140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23.06.2010</w:t>
            </w:r>
          </w:p>
        </w:tc>
        <w:tc>
          <w:tcPr>
            <w:tcW w:w="133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450/1/10</w:t>
            </w:r>
          </w:p>
        </w:tc>
        <w:tc>
          <w:tcPr>
            <w:tcW w:w="24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UA4000083109</w:t>
            </w:r>
          </w:p>
        </w:tc>
        <w:tc>
          <w:tcPr>
            <w:tcW w:w="141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w:t>
            </w:r>
          </w:p>
        </w:tc>
        <w:tc>
          <w:tcPr>
            <w:tcW w:w="14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10214360</w:t>
            </w:r>
          </w:p>
        </w:tc>
        <w:tc>
          <w:tcPr>
            <w:tcW w:w="140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03.02.2011</w:t>
            </w:r>
          </w:p>
        </w:tc>
        <w:tc>
          <w:tcPr>
            <w:tcW w:w="133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450/1/10</w:t>
            </w:r>
          </w:p>
        </w:tc>
        <w:tc>
          <w:tcPr>
            <w:tcW w:w="24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UA4000083109</w:t>
            </w:r>
          </w:p>
        </w:tc>
        <w:tc>
          <w:tcPr>
            <w:tcW w:w="141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w:t>
            </w:r>
          </w:p>
        </w:tc>
        <w:tc>
          <w:tcPr>
            <w:tcW w:w="14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10214360</w:t>
            </w:r>
          </w:p>
        </w:tc>
        <w:tc>
          <w:tcPr>
            <w:tcW w:w="140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w:t>
            </w:r>
            <w:r>
              <w:rPr>
                <w:rFonts w:ascii="Times New Roman CYR" w:hAnsi="Times New Roman CYR" w:cs="Times New Roman CYR"/>
              </w:rPr>
              <w:t>уру лiстингу не проходила</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13.12.2011</w:t>
            </w:r>
          </w:p>
        </w:tc>
        <w:tc>
          <w:tcPr>
            <w:tcW w:w="133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450/1/10</w:t>
            </w:r>
          </w:p>
        </w:tc>
        <w:tc>
          <w:tcPr>
            <w:tcW w:w="24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ДКЦПФР</w:t>
            </w:r>
          </w:p>
        </w:tc>
        <w:tc>
          <w:tcPr>
            <w:tcW w:w="164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UA4000083109</w:t>
            </w:r>
          </w:p>
        </w:tc>
        <w:tc>
          <w:tcPr>
            <w:tcW w:w="141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6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1652436</w:t>
            </w:r>
          </w:p>
        </w:tc>
        <w:tc>
          <w:tcPr>
            <w:tcW w:w="14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16524360</w:t>
            </w:r>
          </w:p>
        </w:tc>
        <w:tc>
          <w:tcPr>
            <w:tcW w:w="140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300"/>
        </w:trPr>
        <w:tc>
          <w:tcPr>
            <w:tcW w:w="122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80" w:type="dxa"/>
            <w:gridSpan w:val="9"/>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процедуру лiстингу не проходила</w:t>
            </w:r>
          </w:p>
        </w:tc>
      </w:tr>
    </w:tbl>
    <w:p w:rsidR="00000000" w:rsidRDefault="00A00C5F">
      <w:pPr>
        <w:widowControl w:val="0"/>
        <w:autoSpaceDE w:val="0"/>
        <w:autoSpaceDN w:val="0"/>
        <w:adjustRightInd w:val="0"/>
        <w:spacing w:after="0" w:line="240" w:lineRule="auto"/>
        <w:rPr>
          <w:rFonts w:ascii="Times New Roman CYR" w:hAnsi="Times New Roman CYR" w:cs="Times New Roman CYR"/>
        </w:rPr>
      </w:pPr>
    </w:p>
    <w:p w:rsidR="00000000" w:rsidRDefault="00A00C5F">
      <w:pPr>
        <w:widowControl w:val="0"/>
        <w:autoSpaceDE w:val="0"/>
        <w:autoSpaceDN w:val="0"/>
        <w:adjustRightInd w:val="0"/>
        <w:spacing w:after="0" w:line="240" w:lineRule="auto"/>
        <w:rPr>
          <w:rFonts w:ascii="Times New Roman CYR" w:hAnsi="Times New Roman CYR" w:cs="Times New Roman CYR"/>
        </w:rPr>
        <w:sectPr w:rsidR="00000000">
          <w:pgSz w:w="16838" w:h="11906" w:orient="landscape"/>
          <w:pgMar w:top="850" w:right="850" w:bottom="850" w:left="1400" w:header="720" w:footer="720" w:gutter="0"/>
          <w:cols w:space="720"/>
          <w:noEndnote/>
        </w:sectPr>
      </w:pPr>
    </w:p>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VIII. Відомості щодо участі емітента у юридичних особах</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Найменування</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"БАЗИС ЦЕНТР"</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Товариство з обмеженою відповідальністю</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Ідентифікаційний код юридичної особи</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40619070</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Місцезнаходження</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32407, Хмельницька обл., Д</w:t>
      </w:r>
      <w:r>
        <w:rPr>
          <w:rFonts w:ascii="Times New Roman CYR" w:hAnsi="Times New Roman CYR" w:cs="Times New Roman CYR"/>
          <w:sz w:val="24"/>
          <w:szCs w:val="24"/>
        </w:rPr>
        <w:t>унаєвецький район, село Балинiвка, вул. Кошового, буд. 34</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Опис</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Частка ПрАТ "СК "Сатiс" у статутному капiталi 1000,00 тис.грн., що становить 80% (фактично сплачено 745,7 тис.грн.).</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IX. Інформація щодо корпоративного секретаря</w:t>
      </w:r>
    </w:p>
    <w:p w:rsidR="00000000" w:rsidRDefault="00A00C5F">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(для акціонерних товариств)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920"/>
        <w:gridCol w:w="4000"/>
        <w:gridCol w:w="4000"/>
      </w:tblGrid>
      <w:tr w:rsidR="00000000">
        <w:tblPrEx>
          <w:tblCellMar>
            <w:top w:w="0" w:type="dxa"/>
            <w:bottom w:w="0" w:type="dxa"/>
          </w:tblCellMar>
        </w:tblPrEx>
        <w:trPr>
          <w:trHeight w:val="300"/>
        </w:trPr>
        <w:tc>
          <w:tcPr>
            <w:tcW w:w="192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призначення особи на посаду корпоративного секретаря</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Прізвище, ім'я, по батькові  особи, призначеної на посаду корпоративного секретаря</w:t>
            </w:r>
          </w:p>
        </w:tc>
        <w:tc>
          <w:tcPr>
            <w:tcW w:w="4000"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Контактні дані: телефон та адреса електронної пошти корпоративного секретаря</w:t>
            </w:r>
          </w:p>
        </w:tc>
      </w:tr>
      <w:tr w:rsidR="00000000">
        <w:tblPrEx>
          <w:tblCellMar>
            <w:top w:w="0" w:type="dxa"/>
            <w:bottom w:w="0" w:type="dxa"/>
          </w:tblCellMar>
        </w:tblPrEx>
        <w:trPr>
          <w:trHeight w:val="300"/>
        </w:trPr>
        <w:tc>
          <w:tcPr>
            <w:tcW w:w="192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000"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000000">
        <w:tblPrEx>
          <w:tblCellMar>
            <w:top w:w="0" w:type="dxa"/>
            <w:bottom w:w="0" w:type="dxa"/>
          </w:tblCellMar>
        </w:tblPrEx>
        <w:trPr>
          <w:trHeight w:val="300"/>
        </w:trPr>
        <w:tc>
          <w:tcPr>
            <w:tcW w:w="1920" w:type="dxa"/>
            <w:tcBorders>
              <w:top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w:t>
            </w:r>
            <w:r>
              <w:rPr>
                <w:rFonts w:ascii="Times New Roman CYR" w:hAnsi="Times New Roman CYR" w:cs="Times New Roman CYR"/>
              </w:rPr>
              <w:t>.06.2023</w:t>
            </w:r>
          </w:p>
        </w:tc>
        <w:tc>
          <w:tcPr>
            <w:tcW w:w="40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Кудiнова Iрина Анатолiївна</w:t>
            </w:r>
          </w:p>
        </w:tc>
        <w:tc>
          <w:tcPr>
            <w:tcW w:w="400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0445021038, office@satis.kiev.ua</w:t>
            </w:r>
          </w:p>
        </w:tc>
      </w:tr>
      <w:tr w:rsidR="00000000">
        <w:tblPrEx>
          <w:tblCellMar>
            <w:top w:w="0" w:type="dxa"/>
            <w:bottom w:w="0" w:type="dxa"/>
          </w:tblCellMar>
        </w:tblPrEx>
        <w:trPr>
          <w:trHeight w:val="300"/>
        </w:trPr>
        <w:tc>
          <w:tcPr>
            <w:tcW w:w="192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8000"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Кудiнова I.А. має досвiд роботи в Товариствi на посадi помiчника керiвника з 2009 року. що передбачає супровi</w:t>
            </w:r>
            <w:r>
              <w:rPr>
                <w:rFonts w:ascii="Times New Roman CYR" w:hAnsi="Times New Roman CYR" w:cs="Times New Roman CYR"/>
              </w:rPr>
              <w:t>д дiяльностi Товариства, має спецiальнi знання та навички у сферi корпоративного права та управлiння, має квалiфiкацiю бухгалтера вiдповiдно до Свiдоцтва №хххххх вiд 25.01.1996р., виданого Харкiвським фiнансово-економiчним iнститутом та повну вищу освiту з</w:t>
            </w:r>
            <w:r>
              <w:rPr>
                <w:rFonts w:ascii="Times New Roman CYR" w:hAnsi="Times New Roman CYR" w:cs="Times New Roman CYR"/>
              </w:rPr>
              <w:t>а спецiальнiстю "Банкiвська справа" та квалiфiкацiю магiстра з банкiвської справи, вiдповiдно до Диплома КВ №ххххххх, про закiнчення у 2006 роцi Київського нацiонального економiчного унiверситету iменi Вадима Гетьмана, не має непогашеної або незнятої судим</w:t>
            </w:r>
            <w:r>
              <w:rPr>
                <w:rFonts w:ascii="Times New Roman CYR" w:hAnsi="Times New Roman CYR" w:cs="Times New Roman CYR"/>
              </w:rPr>
              <w:t>остi за кримiнальнi правопорушення проти власностi, злочини у сферi службової чи господарської дiяльностi.</w:t>
            </w:r>
          </w:p>
        </w:tc>
      </w:tr>
    </w:tbl>
    <w:p w:rsidR="00000000" w:rsidRDefault="00A00C5F">
      <w:pPr>
        <w:widowControl w:val="0"/>
        <w:autoSpaceDE w:val="0"/>
        <w:autoSpaceDN w:val="0"/>
        <w:adjustRightInd w:val="0"/>
        <w:spacing w:after="0" w:line="240" w:lineRule="auto"/>
        <w:rPr>
          <w:rFonts w:ascii="Times New Roman CYR" w:hAnsi="Times New Roman CYR" w:cs="Times New Roman CYR"/>
        </w:rPr>
      </w:pPr>
    </w:p>
    <w:p w:rsidR="00000000" w:rsidRDefault="00A00C5F">
      <w:pPr>
        <w:widowControl w:val="0"/>
        <w:autoSpaceDE w:val="0"/>
        <w:autoSpaceDN w:val="0"/>
        <w:adjustRightInd w:val="0"/>
        <w:spacing w:after="0" w:line="240" w:lineRule="auto"/>
        <w:rPr>
          <w:rFonts w:ascii="Times New Roman CYR" w:hAnsi="Times New Roman CYR" w:cs="Times New Roman CYR"/>
        </w:rPr>
        <w:sectPr w:rsidR="00000000">
          <w:pgSz w:w="12240" w:h="15840"/>
          <w:pgMar w:top="850" w:right="850" w:bottom="850" w:left="1400" w:header="720" w:footer="720" w:gutter="0"/>
          <w:cols w:space="720"/>
          <w:noEndnote/>
        </w:sectPr>
      </w:pPr>
    </w:p>
    <w:p w:rsidR="00000000" w:rsidRDefault="00A00C5F">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X. Інформація про вчинення значних правочинів</w:t>
      </w:r>
    </w:p>
    <w:p w:rsidR="00000000" w:rsidRDefault="00A00C5F">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62"/>
        <w:gridCol w:w="1300"/>
        <w:gridCol w:w="1500"/>
        <w:gridCol w:w="1400"/>
        <w:gridCol w:w="1500"/>
        <w:gridCol w:w="1500"/>
        <w:gridCol w:w="1500"/>
        <w:gridCol w:w="1500"/>
        <w:gridCol w:w="2000"/>
        <w:gridCol w:w="2121"/>
      </w:tblGrid>
      <w:tr w:rsidR="00000000">
        <w:tblPrEx>
          <w:tblCellMar>
            <w:top w:w="0" w:type="dxa"/>
            <w:bottom w:w="0" w:type="dxa"/>
          </w:tblCellMar>
        </w:tblPrEx>
        <w:trPr>
          <w:trHeight w:val="300"/>
        </w:trPr>
        <w:tc>
          <w:tcPr>
            <w:tcW w:w="762"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 з/п</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Дата прийняття рішення</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Найменування уповноваженого органу, що прийняв рішення</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Ринкова вартість майна або послуг, що є предметом правочину (тис.грн)</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Вартість активів емітента за даними останньої річної фінансової звітності (тис.грн)</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Співвідношення ринкової вартості майна або послуг, що є предметом правочину, з вартістю активів емітен</w:t>
            </w:r>
            <w:r>
              <w:rPr>
                <w:rFonts w:ascii="Times New Roman CYR" w:hAnsi="Times New Roman CYR" w:cs="Times New Roman CYR"/>
                <w:b/>
                <w:bCs/>
                <w:sz w:val="20"/>
                <w:szCs w:val="20"/>
              </w:rPr>
              <w:t>та за даними останньої річної фінансової звітності (у відсотках)</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Предмет правочину</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Дата вчинення правочину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Дата розміщення інформації про прийняття рішення щодо надання згоди на вчинення значних правочинів у загальнодоступній інформаційній базі даних Національної комісії з цінних паперів та фондового ринку або через особу, яка провадить діяльність з оприлюдненн</w:t>
            </w:r>
            <w:r>
              <w:rPr>
                <w:rFonts w:ascii="Times New Roman CYR" w:hAnsi="Times New Roman CYR" w:cs="Times New Roman CYR"/>
                <w:b/>
                <w:bCs/>
                <w:sz w:val="20"/>
                <w:szCs w:val="20"/>
              </w:rPr>
              <w:t xml:space="preserve">я регульованої інформації від імені учасників фондового ринку </w:t>
            </w:r>
          </w:p>
        </w:tc>
        <w:tc>
          <w:tcPr>
            <w:tcW w:w="2121"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 xml:space="preserve">URL-адреса сторінки власного веб-сайту товариства, на якій розміщена особлива інформація про прийняття рішення щодо надання згоди на вчинення значних правочинів </w:t>
            </w:r>
          </w:p>
        </w:tc>
      </w:tr>
      <w:tr w:rsidR="00000000">
        <w:tblPrEx>
          <w:tblCellMar>
            <w:top w:w="0" w:type="dxa"/>
            <w:bottom w:w="0" w:type="dxa"/>
          </w:tblCellMar>
        </w:tblPrEx>
        <w:trPr>
          <w:trHeight w:val="300"/>
        </w:trPr>
        <w:tc>
          <w:tcPr>
            <w:tcW w:w="762"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2121"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r>
      <w:tr w:rsidR="00000000">
        <w:tblPrEx>
          <w:tblCellMar>
            <w:top w:w="0" w:type="dxa"/>
            <w:bottom w:w="0" w:type="dxa"/>
          </w:tblCellMar>
        </w:tblPrEx>
        <w:trPr>
          <w:trHeight w:val="300"/>
        </w:trPr>
        <w:tc>
          <w:tcPr>
            <w:tcW w:w="762" w:type="dxa"/>
            <w:tcBorders>
              <w:top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26.04.2023</w:t>
            </w:r>
          </w:p>
        </w:tc>
        <w:tc>
          <w:tcPr>
            <w:tcW w:w="15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Загальнi збори акцiонерiв</w:t>
            </w:r>
          </w:p>
        </w:tc>
        <w:tc>
          <w:tcPr>
            <w:tcW w:w="14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18 954,64</w:t>
            </w:r>
          </w:p>
        </w:tc>
        <w:tc>
          <w:tcPr>
            <w:tcW w:w="15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47 476</w:t>
            </w:r>
          </w:p>
        </w:tc>
        <w:tc>
          <w:tcPr>
            <w:tcW w:w="15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39,92</w:t>
            </w:r>
          </w:p>
        </w:tc>
        <w:tc>
          <w:tcPr>
            <w:tcW w:w="15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Акт прийому-передачi майна, що вноситься до статутного капiталу ПрАТ "СК "САТIС" вiд 27 червня 2023 року. За Актом прийнято, як внесок до статутного капiталу ПрАТ "СК "САТIС" вiд Яхницi Олени Iгор</w:t>
            </w:r>
            <w:r>
              <w:rPr>
                <w:rFonts w:ascii="Times New Roman CYR" w:hAnsi="Times New Roman CYR" w:cs="Times New Roman CYR"/>
                <w:sz w:val="20"/>
                <w:szCs w:val="20"/>
              </w:rPr>
              <w:t>iвни, яка є власницею 8,47234% акцiй у статутному капiталi ПрАТ "СК "САТIС" та власницею опосередкованої участi в розмiрi 0,624773 %, нежитлове примiщення за адресою м. Київ, вул. Саперно-Слобiдська, 22 примiщення 304.</w:t>
            </w:r>
          </w:p>
        </w:tc>
        <w:tc>
          <w:tcPr>
            <w:tcW w:w="15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27.06.2023</w:t>
            </w:r>
          </w:p>
        </w:tc>
        <w:tc>
          <w:tcPr>
            <w:tcW w:w="20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27.04.2023</w:t>
            </w:r>
          </w:p>
        </w:tc>
        <w:tc>
          <w:tcPr>
            <w:tcW w:w="2121"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https://satis.u</w:t>
            </w:r>
            <w:r>
              <w:rPr>
                <w:rFonts w:ascii="Times New Roman CYR" w:hAnsi="Times New Roman CYR" w:cs="Times New Roman CYR"/>
                <w:sz w:val="20"/>
                <w:szCs w:val="20"/>
              </w:rPr>
              <w:t>a/publichna-ta-finansovainformacziya/</w:t>
            </w:r>
          </w:p>
        </w:tc>
      </w:tr>
      <w:tr w:rsidR="00000000">
        <w:tblPrEx>
          <w:tblCellMar>
            <w:top w:w="0" w:type="dxa"/>
            <w:bottom w:w="0" w:type="dxa"/>
          </w:tblCellMar>
        </w:tblPrEx>
        <w:trPr>
          <w:trHeight w:val="300"/>
        </w:trPr>
        <w:tc>
          <w:tcPr>
            <w:tcW w:w="15083" w:type="dxa"/>
            <w:gridSpan w:val="10"/>
            <w:tcBorders>
              <w:top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Опис:</w:t>
            </w:r>
          </w:p>
        </w:tc>
      </w:tr>
      <w:tr w:rsidR="00000000">
        <w:tblPrEx>
          <w:tblCellMar>
            <w:top w:w="0" w:type="dxa"/>
            <w:bottom w:w="0" w:type="dxa"/>
          </w:tblCellMar>
        </w:tblPrEx>
        <w:trPr>
          <w:trHeight w:val="300"/>
        </w:trPr>
        <w:tc>
          <w:tcPr>
            <w:tcW w:w="15083" w:type="dxa"/>
            <w:gridSpan w:val="10"/>
            <w:tcBorders>
              <w:top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27 червня 2023 року прийнято, як внесок до статутного капiталу ПрАТ "СК "САТIС" вiд Яхницi Олен</w:t>
            </w:r>
            <w:r>
              <w:rPr>
                <w:rFonts w:ascii="Times New Roman CYR" w:hAnsi="Times New Roman CYR" w:cs="Times New Roman CYR"/>
                <w:sz w:val="20"/>
                <w:szCs w:val="20"/>
              </w:rPr>
              <w:t>и Iгорiвни, яка є власницею 8,47234% акцiй у статутному капiталi ПрАТ "СК "САТIС" та власницею опосередкованої участi в розмiрi 0,624773 %, нежитлове примiщення за адресою м. Київ, вул. Саперно-Слобiдська, 22 примiщення 304. Внесок оформлено Актом прийому-</w:t>
            </w:r>
            <w:r>
              <w:rPr>
                <w:rFonts w:ascii="Times New Roman CYR" w:hAnsi="Times New Roman CYR" w:cs="Times New Roman CYR"/>
                <w:sz w:val="20"/>
                <w:szCs w:val="20"/>
              </w:rPr>
              <w:t>передачi майна, що вноситься до статутного капiталу ПрАТ "СК "САТIС" вiд 27 червня 2023 року (посвiдчений Тереховою К.I. приватним нотарiусом Київського мiського нотарiального округу).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0"/>
                <w:szCs w:val="20"/>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Дозвiл (згоду) на пiдписання акту надано генеральному директор</w:t>
            </w:r>
            <w:r>
              <w:rPr>
                <w:rFonts w:ascii="Times New Roman CYR" w:hAnsi="Times New Roman CYR" w:cs="Times New Roman CYR"/>
                <w:sz w:val="20"/>
                <w:szCs w:val="20"/>
              </w:rPr>
              <w:t>у ПрАТ "СК "САТIС" Яхницi Iгорю Олександровичу Позачерговими Загальними зборами акцiонерiв (Протокол №52 вiд 26.06.2023). Оскiльки Вiдповiдно до ст. 2 закону України "Про страхування" при створеннi страховика-резидента або збiльшеннi зареєстрованого статут</w:t>
            </w:r>
            <w:r>
              <w:rPr>
                <w:rFonts w:ascii="Times New Roman CYR" w:hAnsi="Times New Roman CYR" w:cs="Times New Roman CYR"/>
                <w:sz w:val="20"/>
                <w:szCs w:val="20"/>
              </w:rPr>
              <w:t>ного капiталу статутний капiтал повинен бути сплачений виключно в грошовiй формi, нежитлове примiщення, розташоване за адресою: м. Київ, вул. Саперно-Слобiдська, 22 примiщення 304 може бути внеском до статутного капiталу виключно пiсля переведення його у г</w:t>
            </w:r>
            <w:r>
              <w:rPr>
                <w:rFonts w:ascii="Times New Roman CYR" w:hAnsi="Times New Roman CYR" w:cs="Times New Roman CYR"/>
                <w:sz w:val="20"/>
                <w:szCs w:val="20"/>
              </w:rPr>
              <w:t>рошову форму. Протоколом Наглядової ради №9 вiд 03 липня 2023 року вирiшено здiйснити реалiзацiю нежитлового примiщення, розташованого за адресою: м. Київ, вул. Саперно-Слобiдська, 22 примiщення 304 з подальшим внесенням грошових коштiв вiд продажу зазначе</w:t>
            </w:r>
            <w:r>
              <w:rPr>
                <w:rFonts w:ascii="Times New Roman CYR" w:hAnsi="Times New Roman CYR" w:cs="Times New Roman CYR"/>
                <w:sz w:val="20"/>
                <w:szCs w:val="20"/>
              </w:rPr>
              <w:t>ного майна до статутного фонду Товариства. Реалiзацiю здiйснити у вiдповiдностi до оцiнки, виконаної ТОВ "ЦЕНТР НЕЗАЛЕЖНОЇ ЕКСПЕРТНОЇ ОЦIНКИ" 14.06.2023, за 18 954 635,46 грн. (вiсiмнадцять мiльйонiв дев'ятсот п'ятдесят чотири тисячi шiстсот тридцять п'ять</w:t>
            </w:r>
            <w:r>
              <w:rPr>
                <w:rFonts w:ascii="Times New Roman CYR" w:hAnsi="Times New Roman CYR" w:cs="Times New Roman CYR"/>
                <w:sz w:val="20"/>
                <w:szCs w:val="20"/>
              </w:rPr>
              <w:t xml:space="preserve"> грн. 46 коп.)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0"/>
                <w:szCs w:val="20"/>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Договiр на реалiзацiю зазначеного примiщення доручити пiдписати Генеральному директору Товариства Яхницi Iгорю Олександровичу.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0"/>
                <w:szCs w:val="20"/>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0"/>
                <w:szCs w:val="20"/>
              </w:rPr>
            </w:pPr>
          </w:p>
        </w:tc>
      </w:tr>
      <w:tr w:rsidR="00000000">
        <w:tblPrEx>
          <w:tblCellMar>
            <w:top w:w="0" w:type="dxa"/>
            <w:bottom w:w="0" w:type="dxa"/>
          </w:tblCellMar>
        </w:tblPrEx>
        <w:trPr>
          <w:trHeight w:val="300"/>
        </w:trPr>
        <w:tc>
          <w:tcPr>
            <w:tcW w:w="762" w:type="dxa"/>
            <w:tcBorders>
              <w:top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26.04.2023</w:t>
            </w:r>
          </w:p>
        </w:tc>
        <w:tc>
          <w:tcPr>
            <w:tcW w:w="15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Загальнi збори акцiонерiв</w:t>
            </w:r>
          </w:p>
        </w:tc>
        <w:tc>
          <w:tcPr>
            <w:tcW w:w="14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2 163,01</w:t>
            </w:r>
          </w:p>
        </w:tc>
        <w:tc>
          <w:tcPr>
            <w:tcW w:w="15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47 476</w:t>
            </w:r>
          </w:p>
        </w:tc>
        <w:tc>
          <w:tcPr>
            <w:tcW w:w="15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4,55</w:t>
            </w:r>
          </w:p>
        </w:tc>
        <w:tc>
          <w:tcPr>
            <w:tcW w:w="15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Договiр мiни нерухомого майна вiд 20 червня 2023 </w:t>
            </w:r>
            <w:r>
              <w:rPr>
                <w:rFonts w:ascii="Times New Roman CYR" w:hAnsi="Times New Roman CYR" w:cs="Times New Roman CYR"/>
                <w:sz w:val="20"/>
                <w:szCs w:val="20"/>
              </w:rPr>
              <w:t xml:space="preserve">року. </w:t>
            </w:r>
          </w:p>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було проведено обмiн нерухомого майна квартири, розташованої за адресою м. Київ, проспект Академiка Глушкова, будинок 9-д квартира 74 вартiстю 2 163 099,41 грн. (звiт про оцiнку майна №18-230614-004 вiд 14.6.2023 виконаний ТОВ "ОК "ГАРАНТ СЕРВIС" н</w:t>
            </w:r>
            <w:r>
              <w:rPr>
                <w:rFonts w:ascii="Times New Roman CYR" w:hAnsi="Times New Roman CYR" w:cs="Times New Roman CYR"/>
                <w:sz w:val="20"/>
                <w:szCs w:val="20"/>
              </w:rPr>
              <w:t>а квартиру за адресую м. Київ, проспект Берестейський (назва до перейменування проспект Перемоги) будинок2 квартира 74 вартiстю 2 000 485,15 грн. (звiт про оцiнку майна №18-230616-001 вiд 16.06.2023 виконаний ТОВ "ЦЕНТР НЕЗАЛЕЖНОЇ ЕКСПЕРНОЇ ОЦIНКИ").</w:t>
            </w:r>
          </w:p>
        </w:tc>
        <w:tc>
          <w:tcPr>
            <w:tcW w:w="15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20.06</w:t>
            </w:r>
            <w:r>
              <w:rPr>
                <w:rFonts w:ascii="Times New Roman CYR" w:hAnsi="Times New Roman CYR" w:cs="Times New Roman CYR"/>
                <w:sz w:val="20"/>
                <w:szCs w:val="20"/>
              </w:rPr>
              <w:t>.2023</w:t>
            </w:r>
          </w:p>
        </w:tc>
        <w:tc>
          <w:tcPr>
            <w:tcW w:w="20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27.04.2023</w:t>
            </w:r>
          </w:p>
        </w:tc>
        <w:tc>
          <w:tcPr>
            <w:tcW w:w="2121"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https://satis.ua/publichna-ta-finansovainformacziya/</w:t>
            </w:r>
          </w:p>
        </w:tc>
      </w:tr>
      <w:tr w:rsidR="00000000">
        <w:tblPrEx>
          <w:tblCellMar>
            <w:top w:w="0" w:type="dxa"/>
            <w:bottom w:w="0" w:type="dxa"/>
          </w:tblCellMar>
        </w:tblPrEx>
        <w:trPr>
          <w:trHeight w:val="300"/>
        </w:trPr>
        <w:tc>
          <w:tcPr>
            <w:tcW w:w="15083" w:type="dxa"/>
            <w:gridSpan w:val="10"/>
            <w:tcBorders>
              <w:top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Опис:</w:t>
            </w:r>
          </w:p>
        </w:tc>
      </w:tr>
      <w:tr w:rsidR="00000000">
        <w:tblPrEx>
          <w:tblCellMar>
            <w:top w:w="0" w:type="dxa"/>
            <w:bottom w:w="0" w:type="dxa"/>
          </w:tblCellMar>
        </w:tblPrEx>
        <w:trPr>
          <w:trHeight w:val="300"/>
        </w:trPr>
        <w:tc>
          <w:tcPr>
            <w:tcW w:w="15083" w:type="dxa"/>
            <w:gridSpan w:val="10"/>
            <w:tcBorders>
              <w:top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20 червня 2023 року було проведено обмiн нерухомого майна квартири, розташованої за адресою м. Київ, проспект Академiка Глушкова, будинок 9-д квартира 74 вартiстю 2 163 099,41 грн. (звiт про оцiнку майна №18-230614-004 вiд 14.6.2023 виконаний ТОВ "ОК "ГАРА</w:t>
            </w:r>
            <w:r>
              <w:rPr>
                <w:rFonts w:ascii="Times New Roman CYR" w:hAnsi="Times New Roman CYR" w:cs="Times New Roman CYR"/>
                <w:sz w:val="20"/>
                <w:szCs w:val="20"/>
              </w:rPr>
              <w:t>НТ СЕРВIС" на квартиру за адресую м. Київ, проспект Берестейський (назва до перейменування проспект Перемоги) будинок2 квартира 74 вартiстю 2 000 485,15 грн. (звiт про оцiнку майна №18-230616-001 вiд 16.06.2023 виконаний ТОВ "ЦЕНТР НЕЗАЛЕЖНОЇ ЕКСПЕРНОЇ ОЦI</w:t>
            </w:r>
            <w:r>
              <w:rPr>
                <w:rFonts w:ascii="Times New Roman CYR" w:hAnsi="Times New Roman CYR" w:cs="Times New Roman CYR"/>
                <w:sz w:val="20"/>
                <w:szCs w:val="20"/>
              </w:rPr>
              <w:t>НКИ").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0"/>
                <w:szCs w:val="20"/>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Обмiн вiдбувся на пiдставi Договору мiни нерухомого майна вiд 20 червня 2023 року (посвiдчений Тереховою К.I. приватним нотарiусом Київського мiського нотарiального округу), укладеного мiж Яхницею Олександром Iгоровичем, який є власником iстотної у</w:t>
            </w:r>
            <w:r>
              <w:rPr>
                <w:rFonts w:ascii="Times New Roman CYR" w:hAnsi="Times New Roman CYR" w:cs="Times New Roman CYR"/>
                <w:sz w:val="20"/>
                <w:szCs w:val="20"/>
              </w:rPr>
              <w:t>частi у ПрАТ "СК "Сатiс" в розмiрi 24,622807% (23,494646% прямої участi та 1,128161% опосередкованої участi) та ПрАТ "СК "САТIС".</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0"/>
                <w:szCs w:val="20"/>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Дозвiл (згоду) на проведення обмiну надано генеральному директору ПрАТ "СК "САТIС" Яхницi Iгорю Олександровичу Загальними збо</w:t>
            </w:r>
            <w:r>
              <w:rPr>
                <w:rFonts w:ascii="Times New Roman CYR" w:hAnsi="Times New Roman CYR" w:cs="Times New Roman CYR"/>
                <w:sz w:val="20"/>
                <w:szCs w:val="20"/>
              </w:rPr>
              <w:t>рами акцiонерiв (Протокол №51 вiд 26.04.2023)</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0"/>
                <w:szCs w:val="20"/>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Проведено об'єднання квартири за адресою м. Київ, проспект Берестейський (назва до перейменування проспект Перемоги) будинок2 квартира 74 з квартирою за адресою м. Київ, проспект Берестейський (назва до перейм</w:t>
            </w:r>
            <w:r>
              <w:rPr>
                <w:rFonts w:ascii="Times New Roman CYR" w:hAnsi="Times New Roman CYR" w:cs="Times New Roman CYR"/>
                <w:sz w:val="20"/>
                <w:szCs w:val="20"/>
              </w:rPr>
              <w:t>енування проспект Перемоги) будинок2 квартира 75. Пiсля об'єднання виконано перепланування та переведення об'єкту до нежитлового фонду. Вiдомостi про право власностi внесено до Державного реєстру речових прав 28 червня 2023 року.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0"/>
                <w:szCs w:val="20"/>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0"/>
                <w:szCs w:val="20"/>
              </w:rPr>
            </w:pPr>
          </w:p>
        </w:tc>
      </w:tr>
    </w:tbl>
    <w:p w:rsidR="00000000" w:rsidRDefault="00A00C5F">
      <w:pPr>
        <w:widowControl w:val="0"/>
        <w:autoSpaceDE w:val="0"/>
        <w:autoSpaceDN w:val="0"/>
        <w:adjustRightInd w:val="0"/>
        <w:spacing w:after="0" w:line="240" w:lineRule="auto"/>
        <w:rPr>
          <w:rFonts w:ascii="Times New Roman CYR" w:hAnsi="Times New Roman CYR" w:cs="Times New Roman CYR"/>
          <w:sz w:val="20"/>
          <w:szCs w:val="20"/>
        </w:rPr>
        <w:sectPr w:rsidR="00000000">
          <w:pgSz w:w="16838" w:h="11906" w:orient="landscape"/>
          <w:pgMar w:top="850" w:right="850" w:bottom="850" w:left="1400" w:header="720" w:footer="720" w:gutter="0"/>
          <w:cols w:space="720"/>
          <w:noEndnote/>
        </w:sectPr>
      </w:pPr>
    </w:p>
    <w:p w:rsidR="00000000" w:rsidRDefault="00A00C5F">
      <w:pPr>
        <w:widowControl w:val="0"/>
        <w:autoSpaceDE w:val="0"/>
        <w:autoSpaceDN w:val="0"/>
        <w:adjustRightInd w:val="0"/>
        <w:spacing w:after="0" w:line="240" w:lineRule="auto"/>
        <w:rPr>
          <w:rFonts w:ascii="Times New Roman CYR" w:hAnsi="Times New Roman CYR" w:cs="Times New Roman CYR"/>
          <w:sz w:val="20"/>
          <w:szCs w:val="20"/>
        </w:rPr>
        <w:sectPr w:rsidR="00000000">
          <w:pgSz w:w="12240" w:h="15840"/>
          <w:pgMar w:top="850" w:right="850" w:bottom="850" w:left="1400" w:header="720" w:footer="720" w:gutter="0"/>
          <w:cols w:space="720"/>
          <w:noEndnote/>
        </w:sectPr>
      </w:pPr>
    </w:p>
    <w:p w:rsidR="00000000" w:rsidRDefault="00A00C5F">
      <w:pPr>
        <w:widowControl w:val="0"/>
        <w:autoSpaceDE w:val="0"/>
        <w:autoSpaceDN w:val="0"/>
        <w:adjustRightInd w:val="0"/>
        <w:spacing w:after="0" w:line="240" w:lineRule="auto"/>
        <w:rPr>
          <w:rFonts w:ascii="Times New Roman CYR" w:hAnsi="Times New Roman CYR" w:cs="Times New Roman CYR"/>
          <w:sz w:val="20"/>
          <w:szCs w:val="20"/>
        </w:rPr>
        <w:sectPr w:rsidR="00000000">
          <w:pgSz w:w="12240" w:h="15840"/>
          <w:pgMar w:top="850" w:right="850" w:bottom="850" w:left="1400" w:header="720" w:footer="720"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000000">
        <w:tblPrEx>
          <w:tblCellMar>
            <w:top w:w="0" w:type="dxa"/>
            <w:bottom w:w="0" w:type="dxa"/>
          </w:tblCellMar>
        </w:tblPrEx>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000000">
        <w:tblPrEx>
          <w:tblCellMar>
            <w:top w:w="0" w:type="dxa"/>
            <w:bottom w:w="0" w:type="dxa"/>
          </w:tblCellMar>
        </w:tblPrEx>
        <w:trPr>
          <w:gridBefore w:val="2"/>
          <w:wBefore w:w="6626" w:type="dxa"/>
          <w:trHeight w:val="300"/>
        </w:trPr>
        <w:tc>
          <w:tcPr>
            <w:tcW w:w="1654" w:type="dxa"/>
            <w:tcBorders>
              <w:top w:val="nil"/>
              <w:left w:val="nil"/>
              <w:bottom w:val="nil"/>
              <w:right w:val="single" w:sz="6" w:space="0" w:color="auto"/>
            </w:tcBorders>
            <w:vAlign w:val="center"/>
          </w:tcPr>
          <w:p w:rsidR="00000000" w:rsidRDefault="00A00C5F">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01.07.2023</w:t>
            </w:r>
          </w:p>
        </w:tc>
      </w:tr>
      <w:tr w:rsidR="00000000">
        <w:tblPrEx>
          <w:tblCellMar>
            <w:top w:w="0" w:type="dxa"/>
            <w:bottom w:w="0" w:type="dxa"/>
          </w:tblCellMar>
        </w:tblPrEx>
        <w:trPr>
          <w:trHeight w:val="298"/>
        </w:trPr>
        <w:tc>
          <w:tcPr>
            <w:tcW w:w="2160" w:type="dxa"/>
            <w:tcBorders>
              <w:top w:val="nil"/>
              <w:left w:val="nil"/>
              <w:bottom w:val="nil"/>
              <w:right w:val="nil"/>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"САТIС"</w:t>
            </w:r>
          </w:p>
        </w:tc>
        <w:tc>
          <w:tcPr>
            <w:tcW w:w="1654" w:type="dxa"/>
            <w:tcBorders>
              <w:top w:val="nil"/>
              <w:left w:val="nil"/>
              <w:bottom w:val="nil"/>
              <w:right w:val="single" w:sz="6" w:space="0" w:color="auto"/>
            </w:tcBorders>
            <w:vAlign w:val="center"/>
          </w:tcPr>
          <w:p w:rsidR="00000000" w:rsidRDefault="00A00C5F">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22963118</w:t>
            </w:r>
          </w:p>
        </w:tc>
      </w:tr>
      <w:tr w:rsidR="00000000">
        <w:tblPrEx>
          <w:tblCellMar>
            <w:top w:w="0" w:type="dxa"/>
            <w:bottom w:w="0" w:type="dxa"/>
          </w:tblCellMar>
        </w:tblPrEx>
        <w:trPr>
          <w:trHeight w:val="298"/>
        </w:trPr>
        <w:tc>
          <w:tcPr>
            <w:tcW w:w="2160" w:type="dxa"/>
            <w:tcBorders>
              <w:top w:val="nil"/>
              <w:left w:val="nil"/>
              <w:bottom w:val="nil"/>
              <w:right w:val="nil"/>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Територія</w:t>
            </w:r>
          </w:p>
        </w:tc>
        <w:tc>
          <w:tcPr>
            <w:tcW w:w="4466" w:type="dxa"/>
            <w:tcBorders>
              <w:top w:val="nil"/>
              <w:left w:val="nil"/>
              <w:bottom w:val="nil"/>
              <w:right w:val="nil"/>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м.Київ</w:t>
            </w:r>
          </w:p>
        </w:tc>
        <w:tc>
          <w:tcPr>
            <w:tcW w:w="1654" w:type="dxa"/>
            <w:tcBorders>
              <w:top w:val="nil"/>
              <w:left w:val="nil"/>
              <w:bottom w:val="nil"/>
              <w:right w:val="single" w:sz="6" w:space="0" w:color="auto"/>
            </w:tcBorders>
            <w:vAlign w:val="center"/>
          </w:tcPr>
          <w:p w:rsidR="00000000" w:rsidRDefault="00A00C5F">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КАТОТТГ</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UA80000000000126643</w:t>
            </w:r>
          </w:p>
        </w:tc>
      </w:tr>
      <w:tr w:rsidR="00000000">
        <w:tblPrEx>
          <w:tblCellMar>
            <w:top w:w="0" w:type="dxa"/>
            <w:bottom w:w="0" w:type="dxa"/>
          </w:tblCellMar>
        </w:tblPrEx>
        <w:trPr>
          <w:trHeight w:val="298"/>
        </w:trPr>
        <w:tc>
          <w:tcPr>
            <w:tcW w:w="2160" w:type="dxa"/>
            <w:tcBorders>
              <w:top w:val="nil"/>
              <w:left w:val="nil"/>
              <w:bottom w:val="nil"/>
              <w:right w:val="nil"/>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 господарювання</w:t>
            </w:r>
          </w:p>
        </w:tc>
        <w:tc>
          <w:tcPr>
            <w:tcW w:w="4466" w:type="dxa"/>
            <w:tcBorders>
              <w:top w:val="nil"/>
              <w:left w:val="nil"/>
              <w:bottom w:val="nil"/>
              <w:right w:val="nil"/>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Акціонерне товариство</w:t>
            </w:r>
          </w:p>
        </w:tc>
        <w:tc>
          <w:tcPr>
            <w:tcW w:w="1654" w:type="dxa"/>
            <w:tcBorders>
              <w:top w:val="nil"/>
              <w:left w:val="nil"/>
              <w:bottom w:val="nil"/>
              <w:right w:val="single" w:sz="6" w:space="0" w:color="auto"/>
            </w:tcBorders>
            <w:vAlign w:val="center"/>
          </w:tcPr>
          <w:p w:rsidR="00000000" w:rsidRDefault="00A00C5F">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КОПФГ</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w:t>
            </w:r>
          </w:p>
        </w:tc>
      </w:tr>
      <w:tr w:rsidR="00000000">
        <w:tblPrEx>
          <w:tblCellMar>
            <w:top w:w="0" w:type="dxa"/>
            <w:bottom w:w="0" w:type="dxa"/>
          </w:tblCellMar>
        </w:tblPrEx>
        <w:trPr>
          <w:trHeight w:val="298"/>
        </w:trPr>
        <w:tc>
          <w:tcPr>
            <w:tcW w:w="2160" w:type="dxa"/>
            <w:tcBorders>
              <w:top w:val="nil"/>
              <w:left w:val="nil"/>
              <w:bottom w:val="nil"/>
              <w:right w:val="nil"/>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економічної діяльності</w:t>
            </w:r>
          </w:p>
        </w:tc>
        <w:tc>
          <w:tcPr>
            <w:tcW w:w="4466" w:type="dxa"/>
            <w:tcBorders>
              <w:top w:val="nil"/>
              <w:left w:val="nil"/>
              <w:bottom w:val="nil"/>
              <w:right w:val="nil"/>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види страхування, крім страхування життя</w:t>
            </w:r>
          </w:p>
        </w:tc>
        <w:tc>
          <w:tcPr>
            <w:tcW w:w="1654" w:type="dxa"/>
            <w:tcBorders>
              <w:top w:val="nil"/>
              <w:left w:val="nil"/>
              <w:bottom w:val="nil"/>
              <w:right w:val="single" w:sz="6" w:space="0" w:color="auto"/>
            </w:tcBorders>
            <w:vAlign w:val="center"/>
          </w:tcPr>
          <w:p w:rsidR="00000000" w:rsidRDefault="00A00C5F">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КВЕД</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w:t>
            </w:r>
          </w:p>
        </w:tc>
      </w:tr>
    </w:tbl>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Середня кількість працівників: </w:t>
      </w:r>
      <w:r>
        <w:rPr>
          <w:rFonts w:ascii="Times New Roman CYR" w:hAnsi="Times New Roman CYR" w:cs="Times New Roman CYR"/>
        </w:rPr>
        <w:t>15</w:t>
      </w:r>
    </w:p>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03028 мiсто Київ, Саперно-Слобiдська, 22, 0445021038</w:t>
      </w:r>
    </w:p>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тис.грн. без десяткового знака</w:t>
      </w:r>
    </w:p>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Складено </w:t>
      </w:r>
      <w:r>
        <w:rPr>
          <w:rFonts w:ascii="Times New Roman CYR" w:hAnsi="Times New Roman CYR" w:cs="Times New Roman CYR"/>
        </w:rPr>
        <w:t>(зробити позначку "v" у відповідній клітинці):</w:t>
      </w:r>
    </w:p>
    <w:tbl>
      <w:tblPr>
        <w:tblW w:w="0" w:type="auto"/>
        <w:tblInd w:w="108" w:type="dxa"/>
        <w:tblLayout w:type="fixed"/>
        <w:tblLook w:val="0000" w:firstRow="0" w:lastRow="0" w:firstColumn="0" w:lastColumn="0" w:noHBand="0" w:noVBand="0"/>
      </w:tblPr>
      <w:tblGrid>
        <w:gridCol w:w="8280"/>
        <w:gridCol w:w="1720"/>
      </w:tblGrid>
      <w:tr w:rsidR="00000000">
        <w:tblPrEx>
          <w:tblCellMar>
            <w:top w:w="0" w:type="dxa"/>
            <w:bottom w:w="0" w:type="dxa"/>
          </w:tblCellMar>
        </w:tblPrEx>
        <w:trPr>
          <w:trHeight w:val="298"/>
        </w:trPr>
        <w:tc>
          <w:tcPr>
            <w:tcW w:w="8280" w:type="dxa"/>
            <w:vMerge w:val="restart"/>
            <w:tcBorders>
              <w:top w:val="nil"/>
              <w:left w:val="nil"/>
              <w:bottom w:val="nil"/>
              <w:right w:val="nil"/>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національними положеннями (стандартами) бухгалтерського обліку</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98"/>
        </w:trPr>
        <w:tc>
          <w:tcPr>
            <w:tcW w:w="8280" w:type="dxa"/>
            <w:vMerge w:val="restart"/>
            <w:tcBorders>
              <w:top w:val="nil"/>
              <w:left w:val="nil"/>
              <w:bottom w:val="nil"/>
              <w:right w:val="nil"/>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міжнародними стандартами фінансової звітності</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v</w:t>
            </w:r>
          </w:p>
        </w:tc>
      </w:tr>
    </w:tbl>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Баланс</w:t>
      </w:r>
    </w:p>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фінансовий стан)</w:t>
      </w:r>
    </w:p>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sz w:val="24"/>
          <w:szCs w:val="24"/>
        </w:rPr>
        <w:t xml:space="preserve">на </w:t>
      </w:r>
      <w:r>
        <w:rPr>
          <w:rFonts w:ascii="Times New Roman CYR" w:hAnsi="Times New Roman CYR" w:cs="Times New Roman CYR"/>
          <w:sz w:val="24"/>
          <w:szCs w:val="24"/>
        </w:rPr>
        <w:t>30.06.2023 p.</w:t>
      </w:r>
    </w:p>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№1</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000000">
        <w:tblPrEx>
          <w:tblCellMar>
            <w:top w:w="0" w:type="dxa"/>
            <w:bottom w:w="0" w:type="dxa"/>
          </w:tblCellMar>
        </w:tblPrEx>
        <w:trPr>
          <w:gridBefore w:val="3"/>
          <w:wBefore w:w="7150" w:type="dxa"/>
          <w:trHeight w:val="280"/>
        </w:trPr>
        <w:tc>
          <w:tcPr>
            <w:tcW w:w="1501" w:type="dxa"/>
            <w:gridSpan w:val="2"/>
            <w:tcBorders>
              <w:top w:val="nil"/>
              <w:left w:val="nil"/>
              <w:bottom w:val="nil"/>
              <w:right w:val="single" w:sz="6" w:space="0" w:color="auto"/>
            </w:tcBorders>
            <w:vAlign w:val="center"/>
          </w:tcPr>
          <w:p w:rsidR="00000000" w:rsidRDefault="00A00C5F">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1801001</w:t>
            </w:r>
          </w:p>
        </w:tc>
      </w:tr>
      <w:tr w:rsidR="00000000">
        <w:tblPrEx>
          <w:tblCellMar>
            <w:top w:w="0" w:type="dxa"/>
            <w:bottom w:w="0" w:type="dxa"/>
          </w:tblCellMar>
        </w:tblPrEx>
        <w:trPr>
          <w:trHeight w:val="3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періоду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 Необоротні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129</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136</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( 7 )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( 7 )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4 382</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4 205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15 066</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15 088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( 10 684 )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( 10 883 )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Інвестиційна нерухомість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31 560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56 908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31 560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56 908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які обліковуються за методом участі в капіталі інших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746</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1 075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податкові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Гудвіл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аквізиційні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Залишок коштів у централізованих страхових резервних фондах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36 817</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62 317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II. Оборотні активи</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Виробничі запаси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Незавершене виробництво</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Товари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Депозити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Векселі одержані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Дебіторська заборгованість за продукцію,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Дебіторська заборгованість за розрахунками: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за виданими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134</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205</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186</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 нарахованих доходів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5 634</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4 541</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6 943</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8 089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Готівка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Рахунки в банках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6 934</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8 080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Частка перестраховика у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540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673</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 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резервах збитків або резервах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резервах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540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673</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1184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13 540</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13 523</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50 357</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75 840</w:t>
            </w:r>
          </w:p>
        </w:tc>
      </w:tr>
    </w:tbl>
    <w:p w:rsidR="00000000" w:rsidRDefault="00A00C5F">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tblPrEx>
          <w:tblCellMar>
            <w:top w:w="0" w:type="dxa"/>
            <w:bottom w:w="0" w:type="dxa"/>
          </w:tblCellMar>
        </w:tblPrEx>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періоду</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 Власний капітал</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5"/>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16 524</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35 479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Внески до незареєстрованого статутного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18 955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Капітал у дооцінках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5 265</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5 265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Емісійний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1412</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5 388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Вилучений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1430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1435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47 605</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71 998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II. Довгострокові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податкові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Пенсійні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довгострокові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244</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забезпечення витрат персоналу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244</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Цільове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Благодійна допомога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1526</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1 300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2 114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 збитків або резерв належних виплат</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1532</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резерв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1533</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1 300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2 029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 страхові резерви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1534</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Інвестиційні контракти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Призовий фонд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1540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Резерв на виплату джек-поту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1545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II</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1 544</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2 114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IІІ. Поточні зобов’язання і забезпечення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Векселі видані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заборгованість за: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758</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1 045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1621</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54</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одержаними авансами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431</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учасниками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із внутрішніх розрахунків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страховою діяльністю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1650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1660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282</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1665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Відстрочені комісійні доходи від перестраховиків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1670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за розділом IІІ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1 208</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1 728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Borders>
            <w:bottom w:val="none" w:sz="0" w:space="0" w:color="auto"/>
          </w:tblBorders>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Чиста вартість активів недержавного пенсійного фонду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Баланс</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50 357</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75 840</w:t>
            </w:r>
          </w:p>
        </w:tc>
      </w:tr>
    </w:tbl>
    <w:p w:rsidR="00000000" w:rsidRDefault="00A00C5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0</w:t>
      </w:r>
    </w:p>
    <w:p w:rsidR="00000000" w:rsidRDefault="00A00C5F">
      <w:pPr>
        <w:widowControl w:val="0"/>
        <w:autoSpaceDE w:val="0"/>
        <w:autoSpaceDN w:val="0"/>
        <w:adjustRightInd w:val="0"/>
        <w:spacing w:after="0" w:line="240" w:lineRule="auto"/>
        <w:jc w:val="both"/>
        <w:rPr>
          <w:rFonts w:ascii="Times New Roman CYR" w:hAnsi="Times New Roman CYR" w:cs="Times New Roman CYR"/>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Яхниця Iгор Олекандрович</w:t>
      </w:r>
    </w:p>
    <w:p w:rsidR="00000000" w:rsidRDefault="00A00C5F">
      <w:pPr>
        <w:widowControl w:val="0"/>
        <w:autoSpaceDE w:val="0"/>
        <w:autoSpaceDN w:val="0"/>
        <w:adjustRightInd w:val="0"/>
        <w:spacing w:after="0" w:line="240" w:lineRule="auto"/>
        <w:jc w:val="both"/>
        <w:rPr>
          <w:rFonts w:ascii="Times New Roman CYR" w:hAnsi="Times New Roman CYR" w:cs="Times New Roman CYR"/>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Доротюк Iрина Василiвна</w:t>
      </w:r>
    </w:p>
    <w:p w:rsidR="00000000" w:rsidRDefault="00A00C5F">
      <w:pPr>
        <w:widowControl w:val="0"/>
        <w:autoSpaceDE w:val="0"/>
        <w:autoSpaceDN w:val="0"/>
        <w:adjustRightInd w:val="0"/>
        <w:spacing w:after="0" w:line="240" w:lineRule="auto"/>
        <w:jc w:val="both"/>
        <w:rPr>
          <w:rFonts w:ascii="Times New Roman CYR" w:hAnsi="Times New Roman CYR" w:cs="Times New Roman CYR"/>
        </w:rPr>
        <w:sectPr w:rsidR="00000000">
          <w:pgSz w:w="12240" w:h="15840"/>
          <w:pgMar w:top="850" w:right="850" w:bottom="850" w:left="1400" w:header="720" w:footer="720" w:gutter="0"/>
          <w:cols w:space="720"/>
          <w:noEndnote/>
        </w:sectPr>
      </w:pPr>
    </w:p>
    <w:tbl>
      <w:tblPr>
        <w:tblW w:w="0" w:type="auto"/>
        <w:tblInd w:w="108" w:type="dxa"/>
        <w:tblLayout w:type="fixed"/>
        <w:tblLook w:val="0000" w:firstRow="0" w:lastRow="0" w:firstColumn="0" w:lastColumn="0" w:noHBand="0" w:noVBand="0"/>
      </w:tblPr>
      <w:tblGrid>
        <w:gridCol w:w="2160"/>
        <w:gridCol w:w="4466"/>
        <w:gridCol w:w="1654"/>
        <w:gridCol w:w="1720"/>
      </w:tblGrid>
      <w:tr w:rsidR="00000000">
        <w:tblPrEx>
          <w:tblCellMar>
            <w:top w:w="0" w:type="dxa"/>
            <w:bottom w:w="0" w:type="dxa"/>
          </w:tblCellMar>
        </w:tblPrEx>
        <w:trPr>
          <w:gridBefore w:val="3"/>
          <w:wBefore w:w="8280" w:type="dxa"/>
          <w:trHeight w:val="300"/>
        </w:trPr>
        <w:tc>
          <w:tcPr>
            <w:tcW w:w="172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000000">
        <w:tblPrEx>
          <w:tblCellMar>
            <w:top w:w="0" w:type="dxa"/>
            <w:bottom w:w="0" w:type="dxa"/>
          </w:tblCellMar>
        </w:tblPrEx>
        <w:trPr>
          <w:gridBefore w:val="2"/>
          <w:wBefore w:w="6626" w:type="dxa"/>
          <w:trHeight w:val="300"/>
        </w:trPr>
        <w:tc>
          <w:tcPr>
            <w:tcW w:w="1654" w:type="dxa"/>
            <w:tcBorders>
              <w:top w:val="nil"/>
              <w:left w:val="nil"/>
              <w:bottom w:val="nil"/>
              <w:right w:val="single" w:sz="6" w:space="0" w:color="auto"/>
            </w:tcBorders>
            <w:vAlign w:val="center"/>
          </w:tcPr>
          <w:p w:rsidR="00000000" w:rsidRDefault="00A00C5F">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Дата</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01.07.2023</w:t>
            </w:r>
          </w:p>
        </w:tc>
      </w:tr>
      <w:tr w:rsidR="00000000">
        <w:tblPrEx>
          <w:tblCellMar>
            <w:top w:w="0" w:type="dxa"/>
            <w:bottom w:w="0" w:type="dxa"/>
          </w:tblCellMar>
        </w:tblPrEx>
        <w:trPr>
          <w:trHeight w:val="298"/>
        </w:trPr>
        <w:tc>
          <w:tcPr>
            <w:tcW w:w="2160" w:type="dxa"/>
            <w:tcBorders>
              <w:top w:val="nil"/>
              <w:left w:val="nil"/>
              <w:bottom w:val="nil"/>
              <w:right w:val="nil"/>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66" w:type="dxa"/>
            <w:tcBorders>
              <w:top w:val="nil"/>
              <w:left w:val="nil"/>
              <w:bottom w:val="nil"/>
              <w:right w:val="nil"/>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"САТIС"</w:t>
            </w:r>
          </w:p>
        </w:tc>
        <w:tc>
          <w:tcPr>
            <w:tcW w:w="1654" w:type="dxa"/>
            <w:tcBorders>
              <w:top w:val="nil"/>
              <w:left w:val="nil"/>
              <w:bottom w:val="nil"/>
              <w:right w:val="single" w:sz="6" w:space="0" w:color="auto"/>
            </w:tcBorders>
            <w:vAlign w:val="center"/>
          </w:tcPr>
          <w:p w:rsidR="00000000" w:rsidRDefault="00A00C5F">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за ЄДРПОУ</w:t>
            </w:r>
          </w:p>
        </w:tc>
        <w:tc>
          <w:tcPr>
            <w:tcW w:w="172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22963118</w:t>
            </w:r>
          </w:p>
        </w:tc>
      </w:tr>
    </w:tbl>
    <w:p w:rsidR="00000000" w:rsidRDefault="00A00C5F">
      <w:pPr>
        <w:widowControl w:val="0"/>
        <w:autoSpaceDE w:val="0"/>
        <w:autoSpaceDN w:val="0"/>
        <w:adjustRightInd w:val="0"/>
        <w:spacing w:after="0" w:line="240" w:lineRule="auto"/>
        <w:rPr>
          <w:rFonts w:ascii="Times New Roman CYR" w:hAnsi="Times New Roman CYR" w:cs="Times New Roman CYR"/>
        </w:rPr>
      </w:pPr>
    </w:p>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фінансові результати</w:t>
      </w:r>
    </w:p>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сукупний дохід)</w:t>
      </w:r>
    </w:p>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перше півріччя 2023 року</w:t>
      </w:r>
    </w:p>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w:t>
      </w:r>
    </w:p>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 Фінансові результати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524"/>
        <w:gridCol w:w="1205"/>
        <w:gridCol w:w="296"/>
        <w:gridCol w:w="1349"/>
      </w:tblGrid>
      <w:tr w:rsidR="00000000">
        <w:tblPrEx>
          <w:tblCellMar>
            <w:top w:w="0" w:type="dxa"/>
            <w:bottom w:w="0" w:type="dxa"/>
          </w:tblCellMar>
        </w:tblPrEx>
        <w:trPr>
          <w:gridBefore w:val="3"/>
          <w:wBefore w:w="7150" w:type="dxa"/>
          <w:trHeight w:val="280"/>
        </w:trPr>
        <w:tc>
          <w:tcPr>
            <w:tcW w:w="1501" w:type="dxa"/>
            <w:gridSpan w:val="2"/>
            <w:tcBorders>
              <w:top w:val="nil"/>
              <w:left w:val="nil"/>
              <w:bottom w:val="nil"/>
              <w:right w:val="single" w:sz="6" w:space="0" w:color="auto"/>
            </w:tcBorders>
            <w:vAlign w:val="center"/>
          </w:tcPr>
          <w:p w:rsidR="00000000" w:rsidRDefault="00A00C5F">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349"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1801003</w:t>
            </w:r>
          </w:p>
        </w:tc>
      </w:tr>
      <w:tr w:rsidR="00000000">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Чисті зароблені страхові премії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9 206</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2 712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Премії підписані,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13 434</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4 224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Премії, передані у перестрахування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( 3 632 )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( 1 375 )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резерву незароблених премій,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729</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557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частки перестраховиків у резерві незароблених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2014</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133</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( 1 832 )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( 1 141 )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Чисті понесені збитки за страховими виплатами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( 596 )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( 22 )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Валовий:</w:t>
            </w:r>
          </w:p>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6 778</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1 549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(витрати) від зміни у резервах довгострокових зобов’язань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(витрати) від зміни інших страхових резервів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інших страхових резервів, валова сума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частки перестраховиків в інших страхових резервах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7 665</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7 600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використання коштів, вивільнених від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Адміністративні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( 3 161 )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( 1 248 )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на збут</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( 1 860 )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( 554 )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( 3 094 )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( 89 )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від зміни вартості активів, які оцінюються за справедливою вартістю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від первісного визнання біологічних активів і сільськогосподарської продукції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Фінансовий результат від операційної діяльності:</w:t>
            </w:r>
          </w:p>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6 328</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( 307 )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фінансові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338</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2 163</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Дохід від благодійної допомоги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2241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Втрати від участі в капіталі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( 3 370 )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Прибуток (збиток) від впливу інфляції на монетарні статті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Фінансовий результат до оподаткування:</w:t>
            </w:r>
          </w:p>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5 459</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( 167 )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(дохід)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Прибуток (збиток) від припиненої діяльності після оподаткування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фінансовий результат:</w:t>
            </w:r>
          </w:p>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5 438</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( 180 )</w:t>
            </w:r>
          </w:p>
        </w:tc>
      </w:tr>
    </w:tbl>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II. Сукупний дохід</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tblPrEx>
          <w:tblCellMar>
            <w:top w:w="0" w:type="dxa"/>
            <w:bottom w:w="0" w:type="dxa"/>
          </w:tblCellMar>
        </w:tblPrEx>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Дооцінка (уцінка)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Дооцінка (уцінка) фінансових інструментів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Накопичені курсові різниці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Частка іншого сукупного доходу асоційованих та спільних підприємств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Інший сукупний дохід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2445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Інший сукупний дохід до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прибуток, пов’язаний з іншим сукупним доходом</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2455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Інший сукупний дохід після оподаткування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2460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Сукупний дохід (сума рядків 2350, 2355 та 2460)</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2465</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5 438</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-180</w:t>
            </w:r>
          </w:p>
        </w:tc>
      </w:tr>
    </w:tbl>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III. Елеме</w:t>
      </w:r>
      <w:r>
        <w:rPr>
          <w:rFonts w:ascii="Times New Roman CYR" w:hAnsi="Times New Roman CYR" w:cs="Times New Roman CYR"/>
        </w:rPr>
        <w:t>нти операційних витрат</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tblPrEx>
          <w:tblCellMar>
            <w:top w:w="0" w:type="dxa"/>
            <w:bottom w:w="0" w:type="dxa"/>
          </w:tblCellMar>
        </w:tblPrEx>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Матеріальні затрати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77</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Витрати на оплату праці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746</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704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Відрахування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159</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199</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2520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12 732</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1 697</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Разом</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2550</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13 913</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3 053</w:t>
            </w:r>
          </w:p>
        </w:tc>
      </w:tr>
    </w:tbl>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ІV. Розрахунок показників прибутковості акцій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1729"/>
        <w:gridCol w:w="1645"/>
      </w:tblGrid>
      <w:tr w:rsidR="00000000">
        <w:tblPrEx>
          <w:tblCellMar>
            <w:top w:w="0" w:type="dxa"/>
            <w:bottom w:w="0" w:type="dxa"/>
          </w:tblCellMar>
        </w:tblPrEx>
        <w:trPr>
          <w:trHeight w:val="466"/>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статті</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Скоригована середньорічна кількість простих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2610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Скоригований чистий прибуток (збиток)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2615</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0,000000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Дивіденди на одну просту акцію</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2650</w:t>
            </w:r>
          </w:p>
        </w:tc>
        <w:tc>
          <w:tcPr>
            <w:tcW w:w="1729"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w:t>
            </w:r>
          </w:p>
        </w:tc>
        <w:tc>
          <w:tcPr>
            <w:tcW w:w="1645" w:type="dxa"/>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0,00</w:t>
            </w:r>
          </w:p>
        </w:tc>
      </w:tr>
    </w:tbl>
    <w:p w:rsidR="00000000" w:rsidRDefault="00A00C5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0</w:t>
      </w:r>
    </w:p>
    <w:p w:rsidR="00000000" w:rsidRDefault="00A00C5F">
      <w:pPr>
        <w:widowControl w:val="0"/>
        <w:autoSpaceDE w:val="0"/>
        <w:autoSpaceDN w:val="0"/>
        <w:adjustRightInd w:val="0"/>
        <w:spacing w:after="0" w:line="240" w:lineRule="auto"/>
        <w:jc w:val="both"/>
        <w:rPr>
          <w:rFonts w:ascii="Times New Roman CYR" w:hAnsi="Times New Roman CYR" w:cs="Times New Roman CYR"/>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Яхниця Iгор Олекандрович</w:t>
      </w:r>
    </w:p>
    <w:p w:rsidR="00000000" w:rsidRDefault="00A00C5F">
      <w:pPr>
        <w:widowControl w:val="0"/>
        <w:autoSpaceDE w:val="0"/>
        <w:autoSpaceDN w:val="0"/>
        <w:adjustRightInd w:val="0"/>
        <w:spacing w:after="0" w:line="240" w:lineRule="auto"/>
        <w:jc w:val="both"/>
        <w:rPr>
          <w:rFonts w:ascii="Times New Roman CYR" w:hAnsi="Times New Roman CYR" w:cs="Times New Roman CYR"/>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Доротюк Iрина Василiвна</w:t>
      </w:r>
    </w:p>
    <w:p w:rsidR="00000000" w:rsidRDefault="00A00C5F">
      <w:pPr>
        <w:widowControl w:val="0"/>
        <w:autoSpaceDE w:val="0"/>
        <w:autoSpaceDN w:val="0"/>
        <w:adjustRightInd w:val="0"/>
        <w:spacing w:after="0" w:line="240" w:lineRule="auto"/>
        <w:jc w:val="both"/>
        <w:rPr>
          <w:rFonts w:ascii="Times New Roman CYR" w:hAnsi="Times New Roman CYR" w:cs="Times New Roman CYR"/>
        </w:rPr>
        <w:sectPr w:rsidR="00000000">
          <w:pgSz w:w="12240" w:h="15840"/>
          <w:pgMar w:top="850" w:right="850" w:bottom="850" w:left="1400" w:header="720" w:footer="720" w:gutter="0"/>
          <w:cols w:space="720"/>
          <w:noEndnote/>
        </w:sectPr>
      </w:pPr>
    </w:p>
    <w:tbl>
      <w:tblPr>
        <w:tblW w:w="0" w:type="auto"/>
        <w:tblInd w:w="108" w:type="dxa"/>
        <w:tblLayout w:type="fixed"/>
        <w:tblLook w:val="0000" w:firstRow="0" w:lastRow="0" w:firstColumn="0" w:lastColumn="0" w:noHBand="0" w:noVBand="0"/>
      </w:tblPr>
      <w:tblGrid>
        <w:gridCol w:w="2160"/>
        <w:gridCol w:w="4490"/>
        <w:gridCol w:w="1990"/>
        <w:gridCol w:w="1360"/>
      </w:tblGrid>
      <w:tr w:rsidR="00000000">
        <w:tblPrEx>
          <w:tblCellMar>
            <w:top w:w="0" w:type="dxa"/>
            <w:bottom w:w="0" w:type="dxa"/>
          </w:tblCellMar>
        </w:tblPrEx>
        <w:trPr>
          <w:gridBefore w:val="3"/>
          <w:wBefore w:w="8640" w:type="dxa"/>
          <w:trHeight w:val="200"/>
        </w:trPr>
        <w:tc>
          <w:tcPr>
            <w:tcW w:w="136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000000">
        <w:tblPrEx>
          <w:tblCellMar>
            <w:top w:w="0" w:type="dxa"/>
            <w:bottom w:w="0" w:type="dxa"/>
          </w:tblCellMar>
        </w:tblPrEx>
        <w:trPr>
          <w:gridBefore w:val="2"/>
          <w:wBefore w:w="6650" w:type="dxa"/>
          <w:trHeight w:val="200"/>
        </w:trPr>
        <w:tc>
          <w:tcPr>
            <w:tcW w:w="1990" w:type="dxa"/>
            <w:tcBorders>
              <w:top w:val="nil"/>
              <w:left w:val="nil"/>
              <w:bottom w:val="nil"/>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01.07.2023</w:t>
            </w:r>
          </w:p>
        </w:tc>
      </w:tr>
      <w:tr w:rsidR="00000000">
        <w:tblPrEx>
          <w:tblCellMar>
            <w:top w:w="0" w:type="dxa"/>
            <w:bottom w:w="0" w:type="dxa"/>
          </w:tblCellMar>
        </w:tblPrEx>
        <w:tc>
          <w:tcPr>
            <w:tcW w:w="2160" w:type="dxa"/>
            <w:tcBorders>
              <w:top w:val="nil"/>
              <w:left w:val="nil"/>
              <w:bottom w:val="nil"/>
              <w:right w:val="nil"/>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90" w:type="dxa"/>
            <w:vMerge w:val="restart"/>
            <w:tcBorders>
              <w:top w:val="nil"/>
              <w:left w:val="nil"/>
              <w:bottom w:val="nil"/>
              <w:right w:val="nil"/>
            </w:tcBorders>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"САТIС"</w:t>
            </w:r>
          </w:p>
        </w:tc>
        <w:tc>
          <w:tcPr>
            <w:tcW w:w="1990" w:type="dxa"/>
            <w:tcBorders>
              <w:top w:val="nil"/>
              <w:left w:val="nil"/>
              <w:bottom w:val="nil"/>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22963118</w:t>
            </w:r>
          </w:p>
        </w:tc>
      </w:tr>
    </w:tbl>
    <w:p w:rsidR="00000000" w:rsidRDefault="00A00C5F">
      <w:pPr>
        <w:widowControl w:val="0"/>
        <w:autoSpaceDE w:val="0"/>
        <w:autoSpaceDN w:val="0"/>
        <w:adjustRightInd w:val="0"/>
        <w:spacing w:after="0" w:line="240" w:lineRule="auto"/>
        <w:rPr>
          <w:rFonts w:ascii="Times New Roman CYR" w:hAnsi="Times New Roman CYR" w:cs="Times New Roman CYR"/>
        </w:rPr>
      </w:pPr>
    </w:p>
    <w:p w:rsidR="00000000" w:rsidRDefault="00A00C5F">
      <w:pPr>
        <w:widowControl w:val="0"/>
        <w:autoSpaceDE w:val="0"/>
        <w:autoSpaceDN w:val="0"/>
        <w:adjustRightInd w:val="0"/>
        <w:spacing w:after="0" w:line="240" w:lineRule="auto"/>
        <w:rPr>
          <w:rFonts w:ascii="Times New Roman CYR" w:hAnsi="Times New Roman CYR" w:cs="Times New Roman CYR"/>
        </w:rPr>
      </w:pPr>
    </w:p>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рух грошових коштів (за прямим методом)</w:t>
      </w:r>
    </w:p>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перше півріччя 2023 року</w:t>
      </w:r>
    </w:p>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№3</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850"/>
        <w:gridCol w:w="776"/>
        <w:gridCol w:w="874"/>
        <w:gridCol w:w="855"/>
        <w:gridCol w:w="645"/>
        <w:gridCol w:w="1000"/>
      </w:tblGrid>
      <w:tr w:rsidR="00000000">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000000" w:rsidRDefault="00A00C5F">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A00C5F">
            <w:pPr>
              <w:widowControl w:val="0"/>
              <w:autoSpaceDE w:val="0"/>
              <w:autoSpaceDN w:val="0"/>
              <w:adjustRightInd w:val="0"/>
              <w:spacing w:after="0" w:line="240" w:lineRule="auto"/>
              <w:jc w:val="right"/>
              <w:rPr>
                <w:rFonts w:ascii="Times New Roman CYR" w:hAnsi="Times New Roman CYR" w:cs="Times New Roman CYR"/>
              </w:rPr>
            </w:pPr>
          </w:p>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 Рух коштів у результаті операційної діяльності</w:t>
            </w:r>
          </w:p>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Повернення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Цільового фінансування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отримання субсидій, дотацій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авансів від покупців і замовників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6 980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2 088</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відсотків за залишками коштів на поточних рахунках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боржників неустойки (штрафів, пені)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операційної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Надходження від отримання роялті, авторських винагород </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страхових премій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13 305</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14 004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фінансових установ від повернення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538</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Витрачання на оплату: </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( 1 760 )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( 2 739 )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Праці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( 547 )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( 1 148 )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Відрахувань на соціальні заходи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( 144 )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( 310 )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Зобов'язань з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( 1 261 )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( 348 )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( 48 )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 податку на додану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3117</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 інших податків і зборів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3118</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( 271 )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повернення авансів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цільових внесків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оплату зобов'язань за страховими контрактами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( 10 154 )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( 14 769 )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фінансових установ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витрачання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( 720 )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( 1 029 )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від операційної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839</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1 705</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 Рух коштів у результаті інвестиційної діяльності</w:t>
            </w:r>
          </w:p>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реалізації:</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отриманих: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307</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деривативів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вибуття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придбання: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фінансових інвестицій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необоротних активів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Виплати за деривативами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надання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придбання дочірнього підприємства та іншої господарської одиниці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від інвестиційної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307</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III. Рух коштів у результаті фінансової діяльності</w:t>
            </w:r>
          </w:p>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Власного капіталу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Отримання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Надходження від продажу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надходження</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Викуп власних акцій</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3345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Погашення позик</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Сплату дивідендів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сплату відсотків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сплату заборгованості з фінансової оренди</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придбання частки в дочірньому підприємстві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Витрачання на виплати неконтрольованим часткам у дочірніх підприємствах</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3375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платежі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( 0 )</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від фінансової діяльності</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Чистий рух коштів за звітний період</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1 146</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2 014</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Залишок коштів на початок року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6 943</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4 929</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Вплив зміни валютних курсів на залишок коштів</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Залишок коштів на кінець року</w:t>
            </w:r>
          </w:p>
        </w:tc>
        <w:tc>
          <w:tcPr>
            <w:tcW w:w="776"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3415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8 089</w:t>
            </w:r>
          </w:p>
        </w:tc>
        <w:tc>
          <w:tcPr>
            <w:tcW w:w="1645"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6 943</w:t>
            </w:r>
          </w:p>
        </w:tc>
      </w:tr>
    </w:tbl>
    <w:p w:rsidR="00000000" w:rsidRDefault="00A00C5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0</w:t>
      </w:r>
    </w:p>
    <w:p w:rsidR="00000000" w:rsidRDefault="00A00C5F">
      <w:pPr>
        <w:widowControl w:val="0"/>
        <w:autoSpaceDE w:val="0"/>
        <w:autoSpaceDN w:val="0"/>
        <w:adjustRightInd w:val="0"/>
        <w:spacing w:after="0" w:line="240" w:lineRule="auto"/>
        <w:jc w:val="both"/>
        <w:rPr>
          <w:rFonts w:ascii="Times New Roman CYR" w:hAnsi="Times New Roman CYR" w:cs="Times New Roman CYR"/>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Яхниця Iгор Олекандрович</w:t>
      </w:r>
    </w:p>
    <w:p w:rsidR="00000000" w:rsidRDefault="00A00C5F">
      <w:pPr>
        <w:widowControl w:val="0"/>
        <w:autoSpaceDE w:val="0"/>
        <w:autoSpaceDN w:val="0"/>
        <w:adjustRightInd w:val="0"/>
        <w:spacing w:after="0" w:line="240" w:lineRule="auto"/>
        <w:jc w:val="both"/>
        <w:rPr>
          <w:rFonts w:ascii="Times New Roman CYR" w:hAnsi="Times New Roman CYR" w:cs="Times New Roman CYR"/>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Доротюк Iрина Василiвна</w:t>
      </w:r>
    </w:p>
    <w:p w:rsidR="00000000" w:rsidRDefault="00A00C5F">
      <w:pPr>
        <w:widowControl w:val="0"/>
        <w:autoSpaceDE w:val="0"/>
        <w:autoSpaceDN w:val="0"/>
        <w:adjustRightInd w:val="0"/>
        <w:spacing w:after="0" w:line="240" w:lineRule="auto"/>
        <w:jc w:val="both"/>
        <w:rPr>
          <w:rFonts w:ascii="Times New Roman CYR" w:hAnsi="Times New Roman CYR" w:cs="Times New Roman CYR"/>
        </w:rPr>
        <w:sectPr w:rsidR="00000000">
          <w:pgSz w:w="12240" w:h="15840"/>
          <w:pgMar w:top="850" w:right="850" w:bottom="850" w:left="1400" w:header="720" w:footer="720" w:gutter="0"/>
          <w:cols w:space="720"/>
          <w:noEndnote/>
        </w:sectPr>
      </w:pPr>
    </w:p>
    <w:tbl>
      <w:tblPr>
        <w:tblW w:w="0" w:type="auto"/>
        <w:tblInd w:w="3168" w:type="dxa"/>
        <w:tblLayout w:type="fixed"/>
        <w:tblLook w:val="0000" w:firstRow="0" w:lastRow="0" w:firstColumn="0" w:lastColumn="0" w:noHBand="0" w:noVBand="0"/>
      </w:tblPr>
      <w:tblGrid>
        <w:gridCol w:w="2240"/>
        <w:gridCol w:w="5500"/>
        <w:gridCol w:w="1800"/>
        <w:gridCol w:w="2000"/>
      </w:tblGrid>
      <w:tr w:rsidR="00000000">
        <w:tblPrEx>
          <w:tblCellMar>
            <w:top w:w="0" w:type="dxa"/>
            <w:bottom w:w="0" w:type="dxa"/>
          </w:tblCellMar>
        </w:tblPrEx>
        <w:trPr>
          <w:gridBefore w:val="3"/>
          <w:wBefore w:w="9540" w:type="dxa"/>
          <w:trHeight w:val="298"/>
        </w:trPr>
        <w:tc>
          <w:tcPr>
            <w:tcW w:w="20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КОДИ</w:t>
            </w:r>
          </w:p>
        </w:tc>
      </w:tr>
      <w:tr w:rsidR="00000000">
        <w:tblPrEx>
          <w:tblCellMar>
            <w:top w:w="0" w:type="dxa"/>
            <w:bottom w:w="0" w:type="dxa"/>
          </w:tblCellMar>
        </w:tblPrEx>
        <w:trPr>
          <w:gridBefore w:val="2"/>
          <w:wBefore w:w="7740" w:type="dxa"/>
          <w:trHeight w:val="298"/>
        </w:trPr>
        <w:tc>
          <w:tcPr>
            <w:tcW w:w="1800" w:type="dxa"/>
            <w:tcBorders>
              <w:top w:val="nil"/>
              <w:left w:val="nil"/>
              <w:bottom w:val="nil"/>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01.07.2023</w:t>
            </w:r>
          </w:p>
        </w:tc>
      </w:tr>
      <w:tr w:rsidR="00000000">
        <w:tblPrEx>
          <w:tblCellMar>
            <w:top w:w="0" w:type="dxa"/>
            <w:bottom w:w="0" w:type="dxa"/>
          </w:tblCellMar>
        </w:tblPrEx>
        <w:tc>
          <w:tcPr>
            <w:tcW w:w="2240" w:type="dxa"/>
            <w:tcBorders>
              <w:top w:val="nil"/>
              <w:left w:val="nil"/>
              <w:bottom w:val="nil"/>
              <w:right w:val="nil"/>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5500" w:type="dxa"/>
            <w:vMerge w:val="restart"/>
            <w:tcBorders>
              <w:top w:val="nil"/>
              <w:left w:val="nil"/>
              <w:bottom w:val="nil"/>
              <w:right w:val="nil"/>
            </w:tcBorders>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"САТIС"</w:t>
            </w:r>
          </w:p>
        </w:tc>
        <w:tc>
          <w:tcPr>
            <w:tcW w:w="1800" w:type="dxa"/>
            <w:tcBorders>
              <w:top w:val="nil"/>
              <w:left w:val="nil"/>
              <w:bottom w:val="nil"/>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ЄДРПОУ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22963118</w:t>
            </w:r>
          </w:p>
        </w:tc>
      </w:tr>
    </w:tbl>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Звіт про власний капітал</w:t>
      </w:r>
    </w:p>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перше півріччя 2023 року</w:t>
      </w:r>
    </w:p>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№4</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50"/>
        <w:gridCol w:w="1250"/>
        <w:gridCol w:w="1100"/>
        <w:gridCol w:w="1350"/>
        <w:gridCol w:w="1300"/>
        <w:gridCol w:w="1200"/>
        <w:gridCol w:w="1300"/>
        <w:gridCol w:w="950"/>
        <w:gridCol w:w="550"/>
        <w:gridCol w:w="1250"/>
        <w:gridCol w:w="50"/>
        <w:gridCol w:w="1250"/>
      </w:tblGrid>
      <w:tr w:rsidR="00000000">
        <w:tblPrEx>
          <w:tblCellMar>
            <w:top w:w="0" w:type="dxa"/>
            <w:bottom w:w="0" w:type="dxa"/>
          </w:tblCellMar>
        </w:tblPrEx>
        <w:trPr>
          <w:gridBefore w:val="8"/>
          <w:wBefore w:w="11500" w:type="dxa"/>
          <w:trHeight w:val="280"/>
        </w:trPr>
        <w:tc>
          <w:tcPr>
            <w:tcW w:w="1800" w:type="dxa"/>
            <w:gridSpan w:val="2"/>
            <w:tcBorders>
              <w:top w:val="nil"/>
              <w:left w:val="nil"/>
              <w:bottom w:val="nil"/>
              <w:right w:val="single" w:sz="6" w:space="0" w:color="auto"/>
            </w:tcBorders>
            <w:vAlign w:val="center"/>
          </w:tcPr>
          <w:p w:rsidR="00000000" w:rsidRDefault="00A00C5F">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300" w:type="dxa"/>
            <w:gridSpan w:val="2"/>
            <w:tcBorders>
              <w:top w:val="single" w:sz="6" w:space="0" w:color="auto"/>
              <w:left w:val="single" w:sz="6" w:space="0" w:color="auto"/>
              <w:bottom w:val="single" w:sz="6" w:space="0" w:color="auto"/>
            </w:tcBorders>
            <w:vAlign w:val="center"/>
          </w:tcPr>
          <w:p w:rsidR="00000000" w:rsidRDefault="00A00C5F">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1801005</w:t>
            </w:r>
          </w:p>
        </w:tc>
      </w:tr>
      <w:tr w:rsidR="00000000">
        <w:tblPrEx>
          <w:tblCellMar>
            <w:top w:w="0" w:type="dxa"/>
            <w:bottom w:w="0" w:type="dxa"/>
          </w:tblCellMar>
        </w:tblPrEx>
        <w:trPr>
          <w:trHeight w:val="530"/>
        </w:trPr>
        <w:tc>
          <w:tcPr>
            <w:tcW w:w="3050" w:type="dxa"/>
            <w:tcBorders>
              <w:top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125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10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Зареєстрований капітал</w:t>
            </w:r>
          </w:p>
        </w:tc>
        <w:tc>
          <w:tcPr>
            <w:tcW w:w="135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Капітал у дооцінках</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Додатковий капітал</w:t>
            </w:r>
          </w:p>
        </w:tc>
        <w:tc>
          <w:tcPr>
            <w:tcW w:w="120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Резервний капітал</w:t>
            </w:r>
          </w:p>
        </w:tc>
        <w:tc>
          <w:tcPr>
            <w:tcW w:w="1300" w:type="dxa"/>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Нерозподілений прибуток (непокритий збиток)</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Неоплачений капітал</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Вилучений капітал</w:t>
            </w:r>
          </w:p>
        </w:tc>
        <w:tc>
          <w:tcPr>
            <w:tcW w:w="1250" w:type="dxa"/>
            <w:tcBorders>
              <w:top w:val="single" w:sz="6" w:space="0" w:color="auto"/>
              <w:left w:val="single" w:sz="6" w:space="0" w:color="auto"/>
              <w:bottom w:val="single" w:sz="6" w:space="0" w:color="auto"/>
            </w:tcBorders>
            <w:shd w:val="clear" w:color="auto" w:fill="E6E6E6"/>
            <w:vAlign w:val="center"/>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Всього</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250" w:type="dxa"/>
            <w:tcBorders>
              <w:top w:val="single" w:sz="6" w:space="0" w:color="auto"/>
              <w:left w:val="single" w:sz="6" w:space="0" w:color="auto"/>
              <w:bottom w:val="single" w:sz="6" w:space="0" w:color="auto"/>
              <w:right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100" w:type="dxa"/>
            <w:tcBorders>
              <w:top w:val="single" w:sz="6" w:space="0" w:color="auto"/>
              <w:left w:val="single" w:sz="6" w:space="0" w:color="auto"/>
              <w:bottom w:val="single" w:sz="6" w:space="0" w:color="auto"/>
              <w:right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350" w:type="dxa"/>
            <w:tcBorders>
              <w:top w:val="single" w:sz="6" w:space="0" w:color="auto"/>
              <w:left w:val="single" w:sz="6" w:space="0" w:color="auto"/>
              <w:bottom w:val="single" w:sz="6" w:space="0" w:color="auto"/>
              <w:right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300" w:type="dxa"/>
            <w:tcBorders>
              <w:top w:val="single" w:sz="6" w:space="0" w:color="auto"/>
              <w:left w:val="single" w:sz="6" w:space="0" w:color="auto"/>
              <w:bottom w:val="single" w:sz="6" w:space="0" w:color="auto"/>
              <w:right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500"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300" w:type="dxa"/>
            <w:gridSpan w:val="2"/>
            <w:tcBorders>
              <w:top w:val="single" w:sz="6" w:space="0" w:color="auto"/>
              <w:left w:val="single" w:sz="6" w:space="0" w:color="auto"/>
              <w:bottom w:val="single" w:sz="6" w:space="0" w:color="auto"/>
              <w:right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250" w:type="dxa"/>
            <w:tcBorders>
              <w:top w:val="single" w:sz="6" w:space="0" w:color="auto"/>
              <w:left w:val="single" w:sz="6" w:space="0" w:color="auto"/>
              <w:bottom w:val="single" w:sz="6" w:space="0" w:color="auto"/>
            </w:tcBorders>
            <w:shd w:val="clear" w:color="auto" w:fill="E6E6E6"/>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Залишок на початок року</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4000</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16 524</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5 265</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47 605</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Коригування:</w:t>
            </w:r>
          </w:p>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Зміна облікової політики</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4005</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Виправлення помилок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4010</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Інші зміни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4090</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Скоригований залишок на початок року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4095</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16 524</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5 265</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47 605</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Чистий прибуток (збиток)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4100</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5 438</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5 438</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Інший сукупний дохід за звітний період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4110</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Дооцінка (уцінка) необоротних активів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4111</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Дооцінка (уцінка) фінансових інструментів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4112</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Накопичені курсові різниці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4113</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Частка іншого сукупного доходу асоційованих і спільних підприємств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4114</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Інший сукупний дохід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4116</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Розподіл прибутку: </w:t>
            </w:r>
          </w:p>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Виплати власникам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4200</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Спрямування прибутку до зареєстрованого капіталу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4205</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Відрахування до резервного капіталу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4210</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Сума чистого прибутку, належна до бюджету відповідно до законодавства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4215</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Сума чистого прибутку на створення спеціальних (цільових) фондів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4220</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Сума чистого прибутку на матеріальне заохочення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4225</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Внески учасників: </w:t>
            </w:r>
          </w:p>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Внески до капіталу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4240</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18 955</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18 955</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Погашення заборгованості з капіталу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4245</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Вилучення капіталу: </w:t>
            </w:r>
          </w:p>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Викуп акцій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4260</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Перепродаж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4265</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Анулювання викуплених акцій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4270</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Вилучення частки в капіталі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4275</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Зменшення номінальної вартості акцій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4280</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Інші зміни в капіталі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4290</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Придбання (продаж) неконтрольованої частки в дочірньому підприємстві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4291</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Разом змін у капіталі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4295</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18 955</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5 438</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24 393</w:t>
            </w:r>
          </w:p>
        </w:tc>
      </w:tr>
      <w:tr w:rsidR="00000000">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vAlign w:val="center"/>
          </w:tcPr>
          <w:p w:rsidR="00000000" w:rsidRDefault="00A00C5F">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Залишок на кінець року </w:t>
            </w:r>
          </w:p>
        </w:tc>
        <w:tc>
          <w:tcPr>
            <w:tcW w:w="12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4300</w:t>
            </w:r>
          </w:p>
        </w:tc>
        <w:tc>
          <w:tcPr>
            <w:tcW w:w="11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35 479</w:t>
            </w:r>
          </w:p>
        </w:tc>
        <w:tc>
          <w:tcPr>
            <w:tcW w:w="135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5 265</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19 287</w:t>
            </w:r>
          </w:p>
        </w:tc>
        <w:tc>
          <w:tcPr>
            <w:tcW w:w="12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6 579</w:t>
            </w:r>
          </w:p>
        </w:tc>
        <w:tc>
          <w:tcPr>
            <w:tcW w:w="1300" w:type="dxa"/>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5 388</w:t>
            </w:r>
          </w:p>
        </w:tc>
        <w:tc>
          <w:tcPr>
            <w:tcW w:w="15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00" w:type="dxa"/>
            <w:gridSpan w:val="2"/>
            <w:tcBorders>
              <w:top w:val="single" w:sz="6" w:space="0" w:color="auto"/>
              <w:left w:val="single" w:sz="6" w:space="0" w:color="auto"/>
              <w:bottom w:val="single" w:sz="6" w:space="0" w:color="auto"/>
              <w:right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50" w:type="dxa"/>
            <w:tcBorders>
              <w:top w:val="single" w:sz="6" w:space="0" w:color="auto"/>
              <w:left w:val="single" w:sz="6" w:space="0" w:color="auto"/>
              <w:bottom w:val="single" w:sz="6" w:space="0" w:color="auto"/>
            </w:tcBorders>
          </w:tcPr>
          <w:p w:rsidR="00000000" w:rsidRDefault="00A00C5F">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71 998</w:t>
            </w:r>
          </w:p>
        </w:tc>
      </w:tr>
    </w:tbl>
    <w:p w:rsidR="00000000" w:rsidRDefault="00A00C5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0</w:t>
      </w:r>
    </w:p>
    <w:p w:rsidR="00000000" w:rsidRDefault="00A00C5F">
      <w:pPr>
        <w:widowControl w:val="0"/>
        <w:autoSpaceDE w:val="0"/>
        <w:autoSpaceDN w:val="0"/>
        <w:adjustRightInd w:val="0"/>
        <w:spacing w:after="0" w:line="240" w:lineRule="auto"/>
        <w:jc w:val="both"/>
        <w:rPr>
          <w:rFonts w:ascii="Times New Roman CYR" w:hAnsi="Times New Roman CYR" w:cs="Times New Roman CYR"/>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Яхниця Iгор Олекандрович</w:t>
      </w:r>
    </w:p>
    <w:p w:rsidR="00000000" w:rsidRDefault="00A00C5F">
      <w:pPr>
        <w:widowControl w:val="0"/>
        <w:autoSpaceDE w:val="0"/>
        <w:autoSpaceDN w:val="0"/>
        <w:adjustRightInd w:val="0"/>
        <w:spacing w:after="0" w:line="240" w:lineRule="auto"/>
        <w:jc w:val="both"/>
        <w:rPr>
          <w:rFonts w:ascii="Times New Roman CYR" w:hAnsi="Times New Roman CYR" w:cs="Times New Roman CYR"/>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Доротюк Iрина Василiвна</w:t>
      </w:r>
    </w:p>
    <w:p w:rsidR="00000000" w:rsidRDefault="00A00C5F">
      <w:pPr>
        <w:widowControl w:val="0"/>
        <w:autoSpaceDE w:val="0"/>
        <w:autoSpaceDN w:val="0"/>
        <w:adjustRightInd w:val="0"/>
        <w:spacing w:after="0" w:line="240" w:lineRule="auto"/>
        <w:jc w:val="both"/>
        <w:rPr>
          <w:rFonts w:ascii="Times New Roman CYR" w:hAnsi="Times New Roman CYR" w:cs="Times New Roman CYR"/>
        </w:rPr>
        <w:sectPr w:rsidR="00000000">
          <w:pgSz w:w="16838" w:h="11906" w:orient="landscape"/>
          <w:pgMar w:top="850" w:right="850" w:bottom="850" w:left="1400" w:header="720" w:footer="720" w:gutter="0"/>
          <w:cols w:space="720"/>
          <w:noEndnote/>
        </w:sectPr>
      </w:pPr>
    </w:p>
    <w:p w:rsidR="00000000" w:rsidRDefault="00A00C5F">
      <w:pPr>
        <w:widowControl w:val="0"/>
        <w:autoSpaceDE w:val="0"/>
        <w:autoSpaceDN w:val="0"/>
        <w:adjustRightInd w:val="0"/>
        <w:spacing w:after="0" w:line="240" w:lineRule="auto"/>
        <w:jc w:val="both"/>
        <w:rPr>
          <w:rFonts w:ascii="Times New Roman CYR" w:hAnsi="Times New Roman CYR" w:cs="Times New Roman CYR"/>
        </w:rPr>
        <w:sectPr w:rsidR="00000000">
          <w:pgSz w:w="16838" w:h="11906" w:orient="landscape"/>
          <w:pgMar w:top="850" w:right="850" w:bottom="850" w:left="1400" w:header="720" w:footer="720" w:gutter="0"/>
          <w:cols w:space="720"/>
          <w:noEndnote/>
        </w:sectPr>
      </w:pPr>
    </w:p>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Примітки до фінансової звітності, складеної відповідно до міжнародних стандартів фінансової звітності</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Змiст примiток до фiнансової звiтностi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Iнформацiя про Компанiю</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Основи подання фiнансової звiтностi.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2.1. Достовiрне подання</w:t>
      </w:r>
      <w:r>
        <w:rPr>
          <w:rFonts w:ascii="Times New Roman CYR" w:hAnsi="Times New Roman CYR" w:cs="Times New Roman CYR"/>
          <w:sz w:val="24"/>
          <w:szCs w:val="24"/>
        </w:rPr>
        <w:t xml:space="preserve"> та вiдповiднiсть МСФЗ.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2.2. Сутнiсть i вплив нових стандартiв МСФЗ.</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2.3  Валюта подання звiтностi та функцiональна валюта, ступiнь округлення.</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2.4. Припущення про безперервнiсть дiяльностi.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2.5  Рiшення про затвердження фiнанс</w:t>
      </w:r>
      <w:r>
        <w:rPr>
          <w:rFonts w:ascii="Times New Roman CYR" w:hAnsi="Times New Roman CYR" w:cs="Times New Roman CYR"/>
          <w:sz w:val="24"/>
          <w:szCs w:val="24"/>
        </w:rPr>
        <w:t>ової звiтностi.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2.6. Звiтний перiод фiнансової звiтностi.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3. Принципи облiкової полiтики.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3.1. Основи оцiнки складання фiнансової звiтностi.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3.2. Грошовi кошти та їх еквiваленти.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3.3. Фiнансовi активи.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3.4. Основнi засоби.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3.5. Нематерiальнi активи.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3.6. Iнвестицiйна нерухомiсть.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3.7. Оренда.</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3.8. Фiнансовi зобов'язання.</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3.9. Податок на прибуток.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3.10. Статутний капiтал та емiсiйний дохiд.</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3.11. Валют</w:t>
      </w:r>
      <w:r>
        <w:rPr>
          <w:rFonts w:ascii="Times New Roman CYR" w:hAnsi="Times New Roman CYR" w:cs="Times New Roman CYR"/>
          <w:sz w:val="24"/>
          <w:szCs w:val="24"/>
        </w:rPr>
        <w:t>а вимiру та подання.</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3.12. Резерви.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3.13. Перевiрка адекватностi страхових зобов'язань.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3.14  Iнформацiя за операцiйними сегментами.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3.15  Суттєвiсть.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Ефект змiн в облiковiй полiтицi, облiкових оцiнках та виправлення суттєвих помилок.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Розкриття iнформацiї щодо використання справедливої вартостi.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5.1. Методики оцiнювання та вхiднi данi, використанi для складання оцiнок за справедливою вартiстю.</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5.2. Рiвень iєрархiї справедливої вартостi, до якого належать оцiнки справедливої вартостi.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5.3. Iншi розкриття, що вимагаються МСФЗ 13 "Оцiнка справедливої вартостi".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Розкриття iнформацiї, що пiдтверджує статтi поданi у фiн</w:t>
      </w:r>
      <w:r>
        <w:rPr>
          <w:rFonts w:ascii="Times New Roman CYR" w:hAnsi="Times New Roman CYR" w:cs="Times New Roman CYR"/>
          <w:sz w:val="24"/>
          <w:szCs w:val="24"/>
        </w:rPr>
        <w:t>ансових звiтах</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 Основнi засоби та нематерiальнi активи.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 Iнвестицiйна нерухомiсть.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6.3. Фiнансовi активи.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6.4. Оренда.</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6.5. Запаси.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6.6. Дебiторська заборгованiсть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6.7. Грошовi кошти та їх еквiваленти.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6.8.  Статутний капiтал та емiсiйнi рi</w:t>
      </w:r>
      <w:r>
        <w:rPr>
          <w:rFonts w:ascii="Times New Roman CYR" w:hAnsi="Times New Roman CYR" w:cs="Times New Roman CYR"/>
          <w:sz w:val="24"/>
          <w:szCs w:val="24"/>
        </w:rPr>
        <w:t>зницi (емiсiйний дохiд), змiни у власному капiталi.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6.9. Довгостроковi зобов'язання i забезпечення</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6.10. Поточнi зобов'язання i забезпечення</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6.11. Тест на адекватнiсть зобов'язань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12. Потенцiйнi зобов'язання Страхової  компанiї.</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6.13. Доход  вiд страхових премiй</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6.14. Iншi операцiйнi доходи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6.15. Адмiнiстративнi, витрати на збут та iншi операцiйнi витрати.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6.16. Фiнансовi доходи i витрати, iншi доходи та витрати.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6.17. Витрати на податок на прибуток та визначення чистого при</w:t>
      </w:r>
      <w:r>
        <w:rPr>
          <w:rFonts w:ascii="Times New Roman CYR" w:hAnsi="Times New Roman CYR" w:cs="Times New Roman CYR"/>
          <w:sz w:val="24"/>
          <w:szCs w:val="24"/>
        </w:rPr>
        <w:t>бутку (збитку).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6.18. Операцiйнi сегменти.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6.19. Цiлi та полiтики управлiння фiнансовими ризиками.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6.20. Управлiння капiталом</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6.21. Операцiйнi  ризики  та   полiтична  ситуацiя в Українi.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6.22. Очiкуваний вплив спалаху коронавiрусу COVID-19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6.23.</w:t>
      </w:r>
      <w:r>
        <w:rPr>
          <w:rFonts w:ascii="Times New Roman CYR" w:hAnsi="Times New Roman CYR" w:cs="Times New Roman CYR"/>
          <w:sz w:val="24"/>
          <w:szCs w:val="24"/>
        </w:rPr>
        <w:t xml:space="preserve"> Операцiї з пов'язаними сторонами.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6.24. Здатнiсть товариства продовжувати дiяльнiсть на безперервнiй основi.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6.25. Подiї пiсля дати балансу.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Iнформацiя про компанiю</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Найменування юiвуридичної особи Приватне акцiонерне товариство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"Страхова компанiя "Сатiс"</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Юридична адреса:</w:t>
      </w:r>
      <w:r>
        <w:rPr>
          <w:rFonts w:ascii="Times New Roman CYR" w:hAnsi="Times New Roman CYR" w:cs="Times New Roman CYR"/>
          <w:sz w:val="24"/>
          <w:szCs w:val="24"/>
        </w:rPr>
        <w:tab/>
        <w:t>м. Київ, вул. Саперно-Слобiдська, 22</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Фактична  адреса:</w:t>
      </w:r>
      <w:r>
        <w:rPr>
          <w:rFonts w:ascii="Times New Roman CYR" w:hAnsi="Times New Roman CYR" w:cs="Times New Roman CYR"/>
          <w:sz w:val="24"/>
          <w:szCs w:val="24"/>
        </w:rPr>
        <w:tab/>
        <w:t>м. Київ, вул. Саперно-Слобiдська, 22</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Дата державної реєстрацiї</w:t>
      </w:r>
      <w:r>
        <w:rPr>
          <w:rFonts w:ascii="Times New Roman CYR" w:hAnsi="Times New Roman CYR" w:cs="Times New Roman CYR"/>
          <w:sz w:val="24"/>
          <w:szCs w:val="24"/>
        </w:rPr>
        <w:tab/>
        <w:t>10 березня 1995 р</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Адреса вебсайта</w:t>
      </w:r>
      <w:r>
        <w:rPr>
          <w:rFonts w:ascii="Times New Roman CYR" w:hAnsi="Times New Roman CYR" w:cs="Times New Roman CYR"/>
          <w:sz w:val="24"/>
          <w:szCs w:val="24"/>
        </w:rPr>
        <w:tab/>
        <w:t>http://www.satis.ua</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Види дiяльностi згiдно з ЄДРПОУ  </w:t>
      </w:r>
      <w:r>
        <w:rPr>
          <w:rFonts w:ascii="Times New Roman CYR" w:hAnsi="Times New Roman CYR" w:cs="Times New Roman CYR"/>
          <w:sz w:val="24"/>
          <w:szCs w:val="24"/>
        </w:rPr>
        <w:tab/>
        <w:t>С</w:t>
      </w:r>
      <w:r>
        <w:rPr>
          <w:rFonts w:ascii="Times New Roman CYR" w:hAnsi="Times New Roman CYR" w:cs="Times New Roman CYR"/>
          <w:sz w:val="24"/>
          <w:szCs w:val="24"/>
        </w:rPr>
        <w:t xml:space="preserve">трахування, перестрахування та здiйснення фiнансової дiяльностi, пов'язаної iз формуванням, розмiщенням страхових резервiв та їх управлiнням.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Реєстрацiйний номер присвоєний Нацкомфiнпослуг</w:t>
      </w:r>
      <w:r>
        <w:rPr>
          <w:rFonts w:ascii="Times New Roman CYR" w:hAnsi="Times New Roman CYR" w:cs="Times New Roman CYR"/>
          <w:sz w:val="24"/>
          <w:szCs w:val="24"/>
        </w:rPr>
        <w:tab/>
        <w:t>11100884</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Iдентифiкацiйний код за ЄДРПОУ</w:t>
      </w:r>
      <w:r>
        <w:rPr>
          <w:rFonts w:ascii="Times New Roman CYR" w:hAnsi="Times New Roman CYR" w:cs="Times New Roman CYR"/>
          <w:sz w:val="24"/>
          <w:szCs w:val="24"/>
        </w:rPr>
        <w:tab/>
        <w:t>22963118</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Банкiвськi рек</w:t>
      </w:r>
      <w:r>
        <w:rPr>
          <w:rFonts w:ascii="Times New Roman CYR" w:hAnsi="Times New Roman CYR" w:cs="Times New Roman CYR"/>
          <w:sz w:val="24"/>
          <w:szCs w:val="24"/>
        </w:rPr>
        <w:t>вiзити</w:t>
      </w:r>
      <w:r>
        <w:rPr>
          <w:rFonts w:ascii="Times New Roman CYR" w:hAnsi="Times New Roman CYR" w:cs="Times New Roman CYR"/>
          <w:sz w:val="24"/>
          <w:szCs w:val="24"/>
        </w:rPr>
        <w:tab/>
        <w:t>ПАТ КБ "ПРИВАТБАНК"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МФО 305299</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р/р. UA593052990000026505046200629</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Документи ,що пiдтверджують право на здiйснення вiдповiдних видiв страхування:    </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569052 вiд 08.12.2010 року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569053 вiд 08.12.2010 року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569054 вiд 08.12.2010 року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569055 вiд 08.12.2010 року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569056 вiд 08.12.2010 року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569057 вiд 08.12.2010 року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569058 вiд 08.12.2010 року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569059 вiд 08.12.2010 року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w:t>
      </w:r>
      <w:r>
        <w:rPr>
          <w:rFonts w:ascii="Times New Roman CYR" w:hAnsi="Times New Roman CYR" w:cs="Times New Roman CYR"/>
          <w:sz w:val="24"/>
          <w:szCs w:val="24"/>
        </w:rPr>
        <w:t>60 вiд 08.12.2010 року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Серiя АГ № 569061 вiд 08.12.2010 року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Основи подання фiнансової звiтностi.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2.1. Достовiрне подання та вiдповiднiсть МСФЗ. Фiнансова звiтнiсть Товариства є фiнансовою звiтнiстю загального призначення, яка сформована з метою достовiрно подання фiнансового стану, фiнансових результатiв дiяльностi та грошових потокiв Товариства для з</w:t>
      </w:r>
      <w:r>
        <w:rPr>
          <w:rFonts w:ascii="Times New Roman CYR" w:hAnsi="Times New Roman CYR" w:cs="Times New Roman CYR"/>
          <w:sz w:val="24"/>
          <w:szCs w:val="24"/>
        </w:rPr>
        <w:t xml:space="preserve">адоволення iнформацiйних потреб широкого кола користувачiв при прийняттi ними економiчних рiшень.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Концептуальною основою фiнансової звiтностi Товариства за звiтний перiод, що закiнчився 31 грудня 2022 року, є Мiжнароднi стандарти фiнансової звiтностi (МС</w:t>
      </w:r>
      <w:r>
        <w:rPr>
          <w:rFonts w:ascii="Times New Roman CYR" w:hAnsi="Times New Roman CYR" w:cs="Times New Roman CYR"/>
          <w:sz w:val="24"/>
          <w:szCs w:val="24"/>
        </w:rPr>
        <w:t xml:space="preserve">ФЗ), включаючи Мiжнароднi стандарти бухгалтерського облiку (МСБО) та Тлумачення (КТМФЗ, ПКТ), виданi Радою з Мiжнародних стандартiв бухгалтерського облiку (РМСБО), в редакцiї чиннiй на 01 сiчня 2022 року, що офiцiйно оприлюдненнi на веб-сайтi Мiнiстерства </w:t>
      </w:r>
      <w:r>
        <w:rPr>
          <w:rFonts w:ascii="Times New Roman CYR" w:hAnsi="Times New Roman CYR" w:cs="Times New Roman CYR"/>
          <w:sz w:val="24"/>
          <w:szCs w:val="24"/>
        </w:rPr>
        <w:t>фiнансiв України.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Пiдготовлена Товариством фiнансова звiтнiсть чiтко та без будь-яких застережень вiдповiдає всiм вимогам чинних МСФЗ з врахуванням змiн, внесених РМСБО станом на 01 сiчня 2022 року, дотримання яких забезпечує достовiрне подання iнформацiї</w:t>
      </w:r>
      <w:r>
        <w:rPr>
          <w:rFonts w:ascii="Times New Roman CYR" w:hAnsi="Times New Roman CYR" w:cs="Times New Roman CYR"/>
          <w:sz w:val="24"/>
          <w:szCs w:val="24"/>
        </w:rPr>
        <w:t xml:space="preserve"> в фiнансовiй звiтностi, а саме, доречної, достовiрної, зiставної та зрозумiлої iнформацiї.</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 формуваннi фiнансової звiтностi Товариство керувалося також вимогами нацiональних законодавчих та нормативних актiв щодо органiзацiї i ведення бухгалтерського </w:t>
      </w:r>
      <w:r>
        <w:rPr>
          <w:rFonts w:ascii="Times New Roman CYR" w:hAnsi="Times New Roman CYR" w:cs="Times New Roman CYR"/>
          <w:sz w:val="24"/>
          <w:szCs w:val="24"/>
        </w:rPr>
        <w:t>облiку та складання фiнансової звiтностi в Українi, якi непротиворiчать вимогам МСФЗ.</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2.2. Сутнiсть i вплив нових стандартiв МСФЗ. Прийнята облiкова полiтика Товариством в перiод пiдготовки фiнансової звiтностi вiдповiдає облiковiй полiтицi, що застосовув</w:t>
      </w:r>
      <w:r>
        <w:rPr>
          <w:rFonts w:ascii="Times New Roman CYR" w:hAnsi="Times New Roman CYR" w:cs="Times New Roman CYR"/>
          <w:sz w:val="24"/>
          <w:szCs w:val="24"/>
        </w:rPr>
        <w:t>алася при пiдготовцi фiнансової звiтностi за 2022 рiк, що закiнчився 31 грудня 2022 року, за винятком прийняття нових стандартiв та iнтерпретацiй, якi набрали чинностi з 1 сiчня 2022 року. Товариство  не прийняла достроково будь-який iнший стандарт, iнтерп</w:t>
      </w:r>
      <w:r>
        <w:rPr>
          <w:rFonts w:ascii="Times New Roman CYR" w:hAnsi="Times New Roman CYR" w:cs="Times New Roman CYR"/>
          <w:sz w:val="24"/>
          <w:szCs w:val="24"/>
        </w:rPr>
        <w:t xml:space="preserve">ретацiї або поправки, якi були випущеннi, але ще не вступили в силу. Iнформацiя про характер i вплив цих змiн розкрита нижче.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Запровадження нових або переглянутих стандартiв та iнтерпретацiй.</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 1 сiчня 2022 року набули чинностi такi змiни стандартiв :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Виручка, отримана до початку запланованого використання активу,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Обтяжливi  договори - вартiсть виконання договору,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Посилання на Концептуальну основу - змiни обмеженої сфери застосування до МСБО 16, МСБО 37 та МСФЗ 3, i Щорiчнi удосконалення МСФЗ 2018</w:t>
      </w:r>
      <w:r>
        <w:rPr>
          <w:rFonts w:ascii="Times New Roman CYR" w:hAnsi="Times New Roman CYR" w:cs="Times New Roman CYR"/>
          <w:sz w:val="24"/>
          <w:szCs w:val="24"/>
        </w:rPr>
        <w:t xml:space="preserve">-2020 рокiв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змiни МСФЗ 1, МСФЗ 9,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МСФЗ 16 та МСБО 41 (опублiкованi 14 травня 2020 року i вступають у силу для рiчних перiодiв, якi починаються з 1 сiчня 2022 року або пiсля цiєї дати).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Змiна МСБО 16 "Основнi засоби"  забороняє организациям вираховувати з вырост обката основних засобiв будь-яку виручку, отриману вiд продажу готової продукцiї, виготовленої протягом перiоду пiдготовки органiзацiєю цього активу до запланованого використання.</w:t>
      </w:r>
      <w:r>
        <w:rPr>
          <w:rFonts w:ascii="Times New Roman CYR" w:hAnsi="Times New Roman CYR" w:cs="Times New Roman CYR"/>
          <w:sz w:val="24"/>
          <w:szCs w:val="24"/>
        </w:rPr>
        <w:t xml:space="preserve">  Виручка вiд продажу такої готової продукцiї разом iз витратами на її виробництво наразi визнається у складi прибутку чи збитку.  Для оцiнки собiвартостi цих виробiв суб'єкт господарювання застосовує МСБО 2. Собiвартiсть не включатиме амортизацiю активу, </w:t>
      </w:r>
      <w:r>
        <w:rPr>
          <w:rFonts w:ascii="Times New Roman CYR" w:hAnsi="Times New Roman CYR" w:cs="Times New Roman CYR"/>
          <w:sz w:val="24"/>
          <w:szCs w:val="24"/>
        </w:rPr>
        <w:t>який тестується, оскiльки вiн не готовий до його запланованого використання.  Змiни МСБО 16 також роз'яснюють, що суб'єкт господарювання "тестує актив на предмет його належного функцiонування", коли вiн оцiнює технiчну та фiзичну продуктивнiсть активу.  Фi</w:t>
      </w:r>
      <w:r>
        <w:rPr>
          <w:rFonts w:ascii="Times New Roman CYR" w:hAnsi="Times New Roman CYR" w:cs="Times New Roman CYR"/>
          <w:sz w:val="24"/>
          <w:szCs w:val="24"/>
        </w:rPr>
        <w:t>нансовi показники такого активу не мають значення для цiєї оцiнки. Отже, актив може функцiонувати вiдповiдно до намiрiв керiвництва та пiдлягати амортизацiї до того, як вiн досягне очiкуваного керiвництвом рiвня операцiйної дiяльностi.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МСБО 37 "Забе</w:t>
      </w:r>
      <w:r>
        <w:rPr>
          <w:rFonts w:ascii="Times New Roman CYR" w:hAnsi="Times New Roman CYR" w:cs="Times New Roman CYR"/>
          <w:sz w:val="24"/>
          <w:szCs w:val="24"/>
        </w:rPr>
        <w:t xml:space="preserve">зпечення, непередбаченi зобов'язання та непередбаченi активи"  роз'яснюють значення "витрати на виконання контракту".  Змiна пояснює, що прямi витрати на виконання договору включають додатковi витрати на виконання такого договору та розподiл iнших витрат, </w:t>
      </w:r>
      <w:r>
        <w:rPr>
          <w:rFonts w:ascii="Times New Roman CYR" w:hAnsi="Times New Roman CYR" w:cs="Times New Roman CYR"/>
          <w:sz w:val="24"/>
          <w:szCs w:val="24"/>
        </w:rPr>
        <w:t xml:space="preserve">якi безпосередньо пов'язанi з виконанням договору.  Змiна також роз'яснює, що до створення окремого резерву пiд обтяжливий договiр органiзацiя визнає весь збиток вiд знецiнення активiв, використаних у ходi виконання договору, а не активiв, призначених для </w:t>
      </w:r>
      <w:r>
        <w:rPr>
          <w:rFonts w:ascii="Times New Roman CYR" w:hAnsi="Times New Roman CYR" w:cs="Times New Roman CYR"/>
          <w:sz w:val="24"/>
          <w:szCs w:val="24"/>
        </w:rPr>
        <w:t>виконання договору.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МСФЗ 3 "Об'єднання бiзнесу" було змiнено шляхом включення до нього посилання на Концептуальну основу фiнансової звiтностi 2018 року, яка дозволяє визначити, що являє собою актив або зобов'язання при об'єднаннi бiзнесу. До цiєї змiни МС</w:t>
      </w:r>
      <w:r>
        <w:rPr>
          <w:rFonts w:ascii="Times New Roman CYR" w:hAnsi="Times New Roman CYR" w:cs="Times New Roman CYR"/>
          <w:sz w:val="24"/>
          <w:szCs w:val="24"/>
        </w:rPr>
        <w:t>ФЗ 3 включав посилання на Концептуальну основу фiнансової звiтностi 2001 року.  Крiм того, в МСФЗ 3 додано нове виключення щодо зобов'язань та умовних зобов'язань. Це виключення передбачає, що вiдносно певних категорiй зобов'язань та умовних зобов'язань ор</w:t>
      </w:r>
      <w:r>
        <w:rPr>
          <w:rFonts w:ascii="Times New Roman CYR" w:hAnsi="Times New Roman CYR" w:cs="Times New Roman CYR"/>
          <w:sz w:val="24"/>
          <w:szCs w:val="24"/>
        </w:rPr>
        <w:t>ганiзацiя, яка застосовує МСФЗ 3, повинна посилатися на МСБО 37 або на Роз'яснення КIМФЗ 21, а не на Концептуальну основу фiнансової звiтностi 2018 року.  Без цього нового виключення органiзацiї довелося б визнавати певнi зобов'язання при об'єднаннi бiзнес</w:t>
      </w:r>
      <w:r>
        <w:rPr>
          <w:rFonts w:ascii="Times New Roman CYR" w:hAnsi="Times New Roman CYR" w:cs="Times New Roman CYR"/>
          <w:sz w:val="24"/>
          <w:szCs w:val="24"/>
        </w:rPr>
        <w:t>у, якi вона не визнавала б вiдповiдно до МСБО 37. Отже, одразу пiсля придбання органiзацiя повинна була б припинити визнання таких зобов'язань i визнати дохiд, який не вiдображає економiчну вигоду.  Також було роз'яснено, що органiзацiя-покупець не зобов'я</w:t>
      </w:r>
      <w:r>
        <w:rPr>
          <w:rFonts w:ascii="Times New Roman CYR" w:hAnsi="Times New Roman CYR" w:cs="Times New Roman CYR"/>
          <w:sz w:val="24"/>
          <w:szCs w:val="24"/>
        </w:rPr>
        <w:t>зана визнавати умовнi активи вiдповiдно до визначення МСБО 37 на дату придбання.</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Змiна МСФЗ 9 розглядає питання про те, якi платежi слiд включати до "10%-го тестування" для припинення визнання фiнансових зобов'язань. Витрати чи платежi можуть здiйснюватис</w:t>
      </w:r>
      <w:r>
        <w:rPr>
          <w:rFonts w:ascii="Times New Roman CYR" w:hAnsi="Times New Roman CYR" w:cs="Times New Roman CYR"/>
          <w:sz w:val="24"/>
          <w:szCs w:val="24"/>
        </w:rPr>
        <w:t>я на користь третiх сторiн або кредитора. Згiдно зi змiнами, витрати або комiсiї, сплаченi третiм сторонам, не включаються до "тесту 10%".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Внесено змiни до iлюстративного прикладу 13 до МСФЗ 16: виключено приклад платежiв орендодавця, якi стосуються удоск</w:t>
      </w:r>
      <w:r>
        <w:rPr>
          <w:rFonts w:ascii="Times New Roman CYR" w:hAnsi="Times New Roman CYR" w:cs="Times New Roman CYR"/>
          <w:sz w:val="24"/>
          <w:szCs w:val="24"/>
        </w:rPr>
        <w:t>оналень орендованого майна.  Цю змiну внесено для того, щоб уникнути потенцiйної невизначеностi щодо методу облiку пiльгових умов за орендою.</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МСФЗ 1 дозволяє застосовувати звiльнення, якщо дочiрня компанiя починає застосовувати МСФЗ з пiзнiшої дати, нiж ї</w:t>
      </w:r>
      <w:r>
        <w:rPr>
          <w:rFonts w:ascii="Times New Roman CYR" w:hAnsi="Times New Roman CYR" w:cs="Times New Roman CYR"/>
          <w:sz w:val="24"/>
          <w:szCs w:val="24"/>
        </w:rPr>
        <w:t>ї материнська компанiя.  Дочiрня компанiя може оцiнювати свої активи та зобов'язання за балансовою вартiстю, яка була б включена до консолiдованої фiнансової звiтностi материнської компанiї з урахуванням дати переходу материнської компанiї на облiк за МСФЗ</w:t>
      </w:r>
      <w:r>
        <w:rPr>
          <w:rFonts w:ascii="Times New Roman CYR" w:hAnsi="Times New Roman CYR" w:cs="Times New Roman CYR"/>
          <w:sz w:val="24"/>
          <w:szCs w:val="24"/>
        </w:rPr>
        <w:t>, якби не здiйснювалося коригувань на процедури консолiдацiї та на вплив операцiї з об'єднання бiзнесу, в межах якої материнська компанiя придбала дочiрню компанiю.  Змiна МСФЗ 1 дозволяє органiзацiям, якi застосували це звiльнення за МСФЗ 1, також оцiнюва</w:t>
      </w:r>
      <w:r>
        <w:rPr>
          <w:rFonts w:ascii="Times New Roman CYR" w:hAnsi="Times New Roman CYR" w:cs="Times New Roman CYR"/>
          <w:sz w:val="24"/>
          <w:szCs w:val="24"/>
        </w:rPr>
        <w:t>ти накопиченi курсовi рiзницi iз використанням числових значень показникiв, вiдображених материнською компанiєю, на основi дати переходу материнської компанiї на облiк за МСФЗ.  Змiни МСФЗ 1 поширюють зазначене вище звiльнення на кумулятивнi курсовi рiзниц</w:t>
      </w:r>
      <w:r>
        <w:rPr>
          <w:rFonts w:ascii="Times New Roman CYR" w:hAnsi="Times New Roman CYR" w:cs="Times New Roman CYR"/>
          <w:sz w:val="24"/>
          <w:szCs w:val="24"/>
        </w:rPr>
        <w:t>i з метою скорочення витрат для компанiй, якi застосовують МСФЗ вперше. Ця змiна застосовується також для асоцiйованих компанiй та спiльних пiдприємств, якi скористалися цим передбаченим МСФЗ 1 звiльненням.</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Вимога, згiдно з якою компанiї мали виключати гр</w:t>
      </w:r>
      <w:r>
        <w:rPr>
          <w:rFonts w:ascii="Times New Roman CYR" w:hAnsi="Times New Roman CYR" w:cs="Times New Roman CYR"/>
          <w:sz w:val="24"/>
          <w:szCs w:val="24"/>
        </w:rPr>
        <w:t xml:space="preserve">ошовi потоки, пов'язанi з оподаткуванням, при оцiнцi справедливої вартостi згiдно з МСБО 41, була скасована. Ця змiна має забезпечити вiдповiднiсть вимозi, яка мiститься у стандартi, щодо дисконтування грошових потокiв пiсля оподаткування.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Застосування ц</w:t>
      </w:r>
      <w:r>
        <w:rPr>
          <w:rFonts w:ascii="Times New Roman CYR" w:hAnsi="Times New Roman CYR" w:cs="Times New Roman CYR"/>
          <w:sz w:val="24"/>
          <w:szCs w:val="24"/>
        </w:rPr>
        <w:t>их змiн не мало значного впливу на фiнансову звiтнiсть Компанiї.</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думку Керiвництва Товариства, зазначенi змiни не мали впливу на рiчну фiнансову звiтнiсть Товариства.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Щорiчнi поправки в МСФЗ (2018-2020): МСФЗ (IFRS) 1 Дочiрнє пiдприємство, яке </w:t>
      </w:r>
      <w:r>
        <w:rPr>
          <w:rFonts w:ascii="Times New Roman CYR" w:hAnsi="Times New Roman CYR" w:cs="Times New Roman CYR"/>
          <w:sz w:val="24"/>
          <w:szCs w:val="24"/>
        </w:rPr>
        <w:t>уперше застосувало МСФЗ. Поправка дозволяє дочiрньому пiдприємству, що застосовує IFRS 1: D16 (a) (яке переходить на МСФЗ пiзнiше своєї материнської компанiї), виконати оцiнку накопиченого ефекту курсових рiзниць у складi iншого сукупного доходу - на пiдст</w:t>
      </w:r>
      <w:r>
        <w:rPr>
          <w:rFonts w:ascii="Times New Roman CYR" w:hAnsi="Times New Roman CYR" w:cs="Times New Roman CYR"/>
          <w:sz w:val="24"/>
          <w:szCs w:val="24"/>
        </w:rPr>
        <w:t>авi такої оцiнки, виконаної материнською компанiєю на дату її переходу на МСФЗ.</w:t>
      </w:r>
      <w:r>
        <w:rPr>
          <w:rFonts w:ascii="Times New Roman CYR" w:hAnsi="Times New Roman CYR" w:cs="Times New Roman CYR"/>
          <w:sz w:val="24"/>
          <w:szCs w:val="24"/>
        </w:rPr>
        <w:tab/>
        <w:t>Дата застосування  01.01.2022.  Дозволяється дострокове застосування. Данi змiни  не впливають на фiнансову звiтнiсть Компанiї.</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Щорiчнi поправки в МСФЗ (2018-2020): МСФЗ </w:t>
      </w:r>
      <w:r>
        <w:rPr>
          <w:rFonts w:ascii="Times New Roman CYR" w:hAnsi="Times New Roman CYR" w:cs="Times New Roman CYR"/>
          <w:sz w:val="24"/>
          <w:szCs w:val="24"/>
        </w:rPr>
        <w:t>(IFRS) 9 Комiсiйна винагорода, що включається в "10-вiдсотковий" тест при припиненнi визнання фiнансових зобов'язань. Поправка уточнює характер такої комiсiйної винагороди - воно включає тiльки винагороду, сплачене мiж позикодавцем i позико отримувачем, вк</w:t>
      </w:r>
      <w:r>
        <w:rPr>
          <w:rFonts w:ascii="Times New Roman CYR" w:hAnsi="Times New Roman CYR" w:cs="Times New Roman CYR"/>
          <w:sz w:val="24"/>
          <w:szCs w:val="24"/>
        </w:rPr>
        <w:t>лючаючи винагороду, сплачене або отримане вiд особи iнших сторiн. Дата застосування  01.01.2022.  Дозволяється дострокове застосування. Данi змiни  не впливають на фiнансову звiтнiсть Компанiї.</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Щорiчнi поправки в МСФЗ (2018-2020): МСФЗ (IFRS) 16  Ст</w:t>
      </w:r>
      <w:r>
        <w:rPr>
          <w:rFonts w:ascii="Times New Roman CYR" w:hAnsi="Times New Roman CYR" w:cs="Times New Roman CYR"/>
          <w:sz w:val="24"/>
          <w:szCs w:val="24"/>
        </w:rPr>
        <w:t>имулюючi платежi по орендi. Поправка уточнює iлюстративний приклад № 13 до МСФЗ (IFRS) 16 шляхом виключення прикладу урахування вiдшкодування, отриманого орендарем вiд орендодавця в якостi компенсацiї за понесенi витрати на полiпшення об'єкта оренди.</w:t>
      </w:r>
      <w:r>
        <w:rPr>
          <w:rFonts w:ascii="Times New Roman CYR" w:hAnsi="Times New Roman CYR" w:cs="Times New Roman CYR"/>
          <w:sz w:val="24"/>
          <w:szCs w:val="24"/>
        </w:rPr>
        <w:tab/>
        <w:t xml:space="preserve">Дата </w:t>
      </w:r>
      <w:r>
        <w:rPr>
          <w:rFonts w:ascii="Times New Roman CYR" w:hAnsi="Times New Roman CYR" w:cs="Times New Roman CYR"/>
          <w:sz w:val="24"/>
          <w:szCs w:val="24"/>
        </w:rPr>
        <w:t>застосування  01.01.2022.  Дозволяється дострокове застосування. Данi змiни  не впливають на фiнансову звiтнiсть Компанiї.</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Щорiчнi поправки в МСФЗ (2018-2020): МСБО (IAS) 41 Ефекти оподаткування при визначеннi справедливої вартостi. Поправка виключає</w:t>
      </w:r>
      <w:r>
        <w:rPr>
          <w:rFonts w:ascii="Times New Roman CYR" w:hAnsi="Times New Roman CYR" w:cs="Times New Roman CYR"/>
          <w:sz w:val="24"/>
          <w:szCs w:val="24"/>
        </w:rPr>
        <w:t xml:space="preserve"> вимогу IAS 41:22, яка вказує, що потоки грошових коштiв, пов'язанi з оподаткуванням, не включаються до розрахункiв справедливої вартостi бiологiчних активiв. Поправка призводить до вiдповiдностi IAS 41 i IFRS 13.</w:t>
      </w:r>
      <w:r>
        <w:rPr>
          <w:rFonts w:ascii="Times New Roman CYR" w:hAnsi="Times New Roman CYR" w:cs="Times New Roman CYR"/>
          <w:sz w:val="24"/>
          <w:szCs w:val="24"/>
        </w:rPr>
        <w:tab/>
        <w:t>Дата застосування  01.01.2022.  Дозволяєть</w:t>
      </w:r>
      <w:r>
        <w:rPr>
          <w:rFonts w:ascii="Times New Roman CYR" w:hAnsi="Times New Roman CYR" w:cs="Times New Roman CYR"/>
          <w:sz w:val="24"/>
          <w:szCs w:val="24"/>
        </w:rPr>
        <w:t>ся дострокове застосування. Данi змiни  не впливають на фiнансову звiтнiсть Компанiї.</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МСБО 1 "Подання фiнансової звiтностi" Поправки роз'яснюють критерiй у МСБО 1 для класифiкацiї зобов'язання як довгострокового: вимога до суб'єкта господарювання ма</w:t>
      </w:r>
      <w:r>
        <w:rPr>
          <w:rFonts w:ascii="Times New Roman CYR" w:hAnsi="Times New Roman CYR" w:cs="Times New Roman CYR"/>
          <w:sz w:val="24"/>
          <w:szCs w:val="24"/>
        </w:rPr>
        <w:t>ти право вiдкласти погашення зобов'язання принаймнi на 12 мiсяцiв пiсля звiтного перiоду.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Сутнiсть поправок: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уточнено, що зобов'язання класифiкується як довгострокове, якщо у органiзацiї є право вiдстрочити врегулювання зобов'язання щонайменше на 12 мiсяцiв, а право компанiї на вiдстрочку розрахункiв має iснувати на кiнець звiтного перiоду;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класифiкацiя зале</w:t>
      </w:r>
      <w:r>
        <w:rPr>
          <w:rFonts w:ascii="Times New Roman CYR" w:hAnsi="Times New Roman CYR" w:cs="Times New Roman CYR"/>
          <w:sz w:val="24"/>
          <w:szCs w:val="24"/>
        </w:rPr>
        <w:t>жить тiльки вiн наявностi такого права i не залежить вiд iмовiрностi того, чи планує компанiя скористатися цим правом - на класифiкацiю не впливають намiри чи очiкування керiвництва щодо того, чи компанiя  реалiзує своє право на вiдстрочку розрахункiв;</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r>
      <w:r>
        <w:rPr>
          <w:rFonts w:ascii="Times New Roman CYR" w:hAnsi="Times New Roman CYR" w:cs="Times New Roman CYR"/>
          <w:sz w:val="24"/>
          <w:szCs w:val="24"/>
        </w:rPr>
        <w:t>роз'яснення впливу умов кредитування на класифiкацiю  - якщо право вiдстрочити врегулювання зобов'язання залежить вiд виконання органiзацiєю певних умов, то дане право iснує на дату закiнчення звiтного перiоду тiльки в тому випадку, якщо органiзацiя викона</w:t>
      </w:r>
      <w:r>
        <w:rPr>
          <w:rFonts w:ascii="Times New Roman CYR" w:hAnsi="Times New Roman CYR" w:cs="Times New Roman CYR"/>
          <w:sz w:val="24"/>
          <w:szCs w:val="24"/>
        </w:rPr>
        <w:t>ла цi умови на дату закiнчення звiтного перiоду. Органiзацiя повинна виконати цi умови на дату закiнчення звiтного перiоду, навiть якщо перевiрка їх виконання здiйснюється кредитором пiзнiше; 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роз'яснення вимог до класифiкацiї зобов'язань, якi компанiя м</w:t>
      </w:r>
      <w:r>
        <w:rPr>
          <w:rFonts w:ascii="Times New Roman CYR" w:hAnsi="Times New Roman CYR" w:cs="Times New Roman CYR"/>
          <w:sz w:val="24"/>
          <w:szCs w:val="24"/>
        </w:rPr>
        <w:t>оже або може погасити шляхом випуску власних iнструментiв власного капiталу.</w:t>
      </w:r>
      <w:r>
        <w:rPr>
          <w:rFonts w:ascii="Times New Roman CYR" w:hAnsi="Times New Roman CYR" w:cs="Times New Roman CYR"/>
          <w:sz w:val="24"/>
          <w:szCs w:val="24"/>
        </w:rPr>
        <w:tab/>
        <w:t>Дата застосування  1 сiчня 2023 року: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Змiни до МСБО (IAS) 1 "Подання фiнансової звiтностi" - Поправки роз'яснюють критерiй у МСБО 1 для класифiкацiї зобов'язання як довгостроко</w:t>
      </w:r>
      <w:r>
        <w:rPr>
          <w:rFonts w:ascii="Times New Roman CYR" w:hAnsi="Times New Roman CYR" w:cs="Times New Roman CYR"/>
          <w:sz w:val="24"/>
          <w:szCs w:val="24"/>
        </w:rPr>
        <w:t>вого: вимога до суб'єкта господарювання мати право вiдкласти погашення зобов'язання принаймнi на 12 мiсяцiв пiсля звiтного перiоду.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-Змiни до МСБО (IAS) 1 "Подання фiнансової звiтностi", до Практичних рекомендацiй № 2 з МСФЗ "Формування суджень щодо су</w:t>
      </w:r>
      <w:r>
        <w:rPr>
          <w:rFonts w:ascii="Times New Roman CYR" w:hAnsi="Times New Roman CYR" w:cs="Times New Roman CYR"/>
          <w:sz w:val="24"/>
          <w:szCs w:val="24"/>
        </w:rPr>
        <w:t>ттєвостi";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Дозволяється дострокове застосування. Данi змiни  не впливають на фiнансову звiтнiсть Компанiї.</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МСФЗ 17 Страховi контракти </w:t>
      </w:r>
      <w:r>
        <w:rPr>
          <w:rFonts w:ascii="Times New Roman CYR" w:hAnsi="Times New Roman CYR" w:cs="Times New Roman CYR"/>
          <w:sz w:val="24"/>
          <w:szCs w:val="24"/>
        </w:rPr>
        <w:tab/>
        <w:t>Виключення деяких видiв договорiв зi сфери застосування МСФЗ 17</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Спрощене подання активiв i зобов'язань, пов'яза</w:t>
      </w:r>
      <w:r>
        <w:rPr>
          <w:rFonts w:ascii="Times New Roman CYR" w:hAnsi="Times New Roman CYR" w:cs="Times New Roman CYR"/>
          <w:sz w:val="24"/>
          <w:szCs w:val="24"/>
        </w:rPr>
        <w:t>них з договорами страхування в звiтi про фiнансовий стан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Вплив облiкових оцiнок, зроблених в попереднiх промiжнiй  фiнансовiй звiтностi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Визнання i розподiл аквiзацiйних  грошових потокiв</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Змiна у визнаннi вiдшкодування за договорами перестрахування</w:t>
      </w:r>
      <w:r>
        <w:rPr>
          <w:rFonts w:ascii="Times New Roman CYR" w:hAnsi="Times New Roman CYR" w:cs="Times New Roman CYR"/>
          <w:sz w:val="24"/>
          <w:szCs w:val="24"/>
        </w:rPr>
        <w:t xml:space="preserve"> в звiтi про прибутки i збитки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Розподiл маржi за передбаченi договором страхування iнвестицiйнi послуги (CSM)</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Можливiсть зниження фiнансового ризику для договорiв вхiдного перестрахування i непохiдних фiнансових iнструментiв</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Перенесення дати вступу в силу МСФЗ 17, а також продовження перiоду звiльнення вiд застосування МСФЗ (IFRS) 9 для страхових компанiй до 1 сiчня 2023 року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Спрощений облiк зобов'язань по врегулюванню збиткiв за договорами, якi виникли до дати переходу н</w:t>
      </w:r>
      <w:r>
        <w:rPr>
          <w:rFonts w:ascii="Times New Roman CYR" w:hAnsi="Times New Roman CYR" w:cs="Times New Roman CYR"/>
          <w:sz w:val="24"/>
          <w:szCs w:val="24"/>
        </w:rPr>
        <w:t>а МСФЗ 17</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Послаблення в застосуваннi технiк для зниження фiнансового ризику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Можливiсть визначення iнвестицiйного договору з умовами дискрецiйного участi в момент переходу на новий стандарт, нiж в момент виникнення договору.Дата застосування  01.01.2023</w:t>
      </w:r>
      <w:r>
        <w:rPr>
          <w:rFonts w:ascii="Times New Roman CYR" w:hAnsi="Times New Roman CYR" w:cs="Times New Roman CYR"/>
          <w:sz w:val="24"/>
          <w:szCs w:val="24"/>
        </w:rPr>
        <w:t>.  Керiвництво визначає методи переходу зазначених змiн  на фiнансову звiтнiсть  Товариства та потребує час до кiнця року, щодо реалiзацii цього переходу, за виключення непередбачених дiй.</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Новi положення бухгалтерського облiку.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Були випущенi окремi новi </w:t>
      </w:r>
      <w:r>
        <w:rPr>
          <w:rFonts w:ascii="Times New Roman CYR" w:hAnsi="Times New Roman CYR" w:cs="Times New Roman CYR"/>
          <w:sz w:val="24"/>
          <w:szCs w:val="24"/>
        </w:rPr>
        <w:t xml:space="preserve">стандарти та iнтерпретацiї, якi є обов'язковими до застосування у рiчних перiодах, що починаються з 1 сiчня 2023 року або пiсля цiєї дати, i якi не були достроково застосованi Групою.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Вiдстроченi податки, пов'язанi з активами та зобов'язаннями, що виника</w:t>
      </w:r>
      <w:r>
        <w:rPr>
          <w:rFonts w:ascii="Times New Roman CYR" w:hAnsi="Times New Roman CYR" w:cs="Times New Roman CYR"/>
          <w:sz w:val="24"/>
          <w:szCs w:val="24"/>
        </w:rPr>
        <w:t xml:space="preserve">ють за однiєю операцiєю, - змiни МСБО 12 (опублiкованi 7 травня 2021 року i вступають у силу для рiчних перiодiв, якi починаються з 1 сiчня 2023 року або пiсля цiєї дати).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МСБО 12 стосуються облiку вiдстроченого податку за такими операцiями, як ор</w:t>
      </w:r>
      <w:r>
        <w:rPr>
          <w:rFonts w:ascii="Times New Roman CYR" w:hAnsi="Times New Roman CYR" w:cs="Times New Roman CYR"/>
          <w:sz w:val="24"/>
          <w:szCs w:val="24"/>
        </w:rPr>
        <w:t>енда та зобов'язання з виведення активiв з експлуатацiї. У певних випадках органiзацiї звiльняються вiд вимоги визнавати вiдстрочений податок, коли вони вперше визнають активи або зобов'язання. Ранiше iснувала невизначенiсть щодо того, чи звiльнення стосує</w:t>
      </w:r>
      <w:r>
        <w:rPr>
          <w:rFonts w:ascii="Times New Roman CYR" w:hAnsi="Times New Roman CYR" w:cs="Times New Roman CYR"/>
          <w:sz w:val="24"/>
          <w:szCs w:val="24"/>
        </w:rPr>
        <w:t>ться таких операцiй, як як оренда та зобов'язання з виведення активiв з експлуатацiї, за якими одночасно визнається актив та зобов'язання. Змiнений стандарт уточнює, що звiльнення не поширюється на такi операцiї, i органiзацiї повиннi визнавати вiдстрочени</w:t>
      </w:r>
      <w:r>
        <w:rPr>
          <w:rFonts w:ascii="Times New Roman CYR" w:hAnsi="Times New Roman CYR" w:cs="Times New Roman CYR"/>
          <w:sz w:val="24"/>
          <w:szCs w:val="24"/>
        </w:rPr>
        <w:t xml:space="preserve">й податок за ними. Змiни вимагають вiд компанiй визнавати вiдстрочений податок за операцiями, за якими при початковому визнаннi виникають рiвнi суми тимчасових рiзниць, якi збiльшують i зменшують суму оподаткування.  Наразi Компанiя  оцiнює вплив цих змiн </w:t>
      </w:r>
      <w:r>
        <w:rPr>
          <w:rFonts w:ascii="Times New Roman CYR" w:hAnsi="Times New Roman CYR" w:cs="Times New Roman CYR"/>
          <w:sz w:val="24"/>
          <w:szCs w:val="24"/>
        </w:rPr>
        <w:t>на її фiнансову звiтнiсть.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Класифiкацiя зобов'язань як поточних або довгострокових зобов'язань - змiни МСБО 1 (опублiкованi 23 сiчня 2020 року i вступають у силу для рiчних перiодiв, якi починаються з 1 сiчня 2022 року або пiсля цiєї дати). Цi змiни обме</w:t>
      </w:r>
      <w:r>
        <w:rPr>
          <w:rFonts w:ascii="Times New Roman CYR" w:hAnsi="Times New Roman CYR" w:cs="Times New Roman CYR"/>
          <w:sz w:val="24"/>
          <w:szCs w:val="24"/>
        </w:rPr>
        <w:t>женої сфери застосування уточнюють, що зобов'язання класифiкуються у короткостроковi або довгостроковi залежно вiд прав, iснуючих на кiнець звiтного перiоду. Зобов'язання є довгостроковим, якщо органiзацiя має на кiнець звiтного перiоду суттєве право вiдкл</w:t>
      </w:r>
      <w:r>
        <w:rPr>
          <w:rFonts w:ascii="Times New Roman CYR" w:hAnsi="Times New Roman CYR" w:cs="Times New Roman CYR"/>
          <w:sz w:val="24"/>
          <w:szCs w:val="24"/>
        </w:rPr>
        <w:t>асти їх погашення, як мiнiмум, на 12 мiсяцiв. Роз'яснення у стандартi бiльше не вимагає, щоб таке право було безумовним. Очiкування керiвництва щодо подальшої реалiзацiї ним права вiдкласти розрахунок не впливають на класифiкацiю зобов'язань. Право вiдклас</w:t>
      </w:r>
      <w:r>
        <w:rPr>
          <w:rFonts w:ascii="Times New Roman CYR" w:hAnsi="Times New Roman CYR" w:cs="Times New Roman CYR"/>
          <w:sz w:val="24"/>
          <w:szCs w:val="24"/>
        </w:rPr>
        <w:t xml:space="preserve">ти розрахунок iснує виключно тодi, коли суб'єкт господарювання дотримується вiдповiдних умов станом на кiнець звiтного перiоду. Зобов'язання класифiкується як поточне зобов'язання, якщо умову не дотримано станом на або перед звiтною датою, навiть якщо вiд </w:t>
      </w:r>
      <w:r>
        <w:rPr>
          <w:rFonts w:ascii="Times New Roman CYR" w:hAnsi="Times New Roman CYR" w:cs="Times New Roman CYR"/>
          <w:sz w:val="24"/>
          <w:szCs w:val="24"/>
        </w:rPr>
        <w:t>кредитора отримано звiльнення вiд виконання умови пiсля закiнчення звiтного перiоду. I навпаки, кредит класифiкується як довгострокове зобов'язання, якщо умову кредиту не дотримано тiльки пiсля звiтної дати. Крiм того, змiни мiстять роз'яснення вимог до кл</w:t>
      </w:r>
      <w:r>
        <w:rPr>
          <w:rFonts w:ascii="Times New Roman CYR" w:hAnsi="Times New Roman CYR" w:cs="Times New Roman CYR"/>
          <w:sz w:val="24"/>
          <w:szCs w:val="24"/>
        </w:rPr>
        <w:t>асифiкацiї боргових зобов'язань, якi компанiя може врегулювати за рахунок їх конвертацiї в iнструменти капiталу. Розрахунок визначається як погашення зобов'язання грошовими коштами, iншими ресурсами, якi втiлюють у собi економiчнi вигоди, або власними iнст</w:t>
      </w:r>
      <w:r>
        <w:rPr>
          <w:rFonts w:ascii="Times New Roman CYR" w:hAnsi="Times New Roman CYR" w:cs="Times New Roman CYR"/>
          <w:sz w:val="24"/>
          <w:szCs w:val="24"/>
        </w:rPr>
        <w:t>рументами капiталу суб'єкта господарювання. Передбачено виключення для конвертованих iнструментiв, якi можуть бути конвертованi у власний капiтал, але тiльки для тих iнструментiв, де опцiон на конвертацiю класифiкується як дольовий iнструмент в якостi окре</w:t>
      </w:r>
      <w:r>
        <w:rPr>
          <w:rFonts w:ascii="Times New Roman CYR" w:hAnsi="Times New Roman CYR" w:cs="Times New Roman CYR"/>
          <w:sz w:val="24"/>
          <w:szCs w:val="24"/>
        </w:rPr>
        <w:t>мого компонента комбiнованого фiнансового iнструмента. Наразi Компанiя  оцiнює вплив цих змiн на її фiнансову звiтнiсть.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Класифiкацiя зобов'язань як поточних або довгострокових зобов'язань - перенесення дати набуття чинностi - змiни МСБО 1 (опублiкованi 1</w:t>
      </w:r>
      <w:r>
        <w:rPr>
          <w:rFonts w:ascii="Times New Roman CYR" w:hAnsi="Times New Roman CYR" w:cs="Times New Roman CYR"/>
          <w:sz w:val="24"/>
          <w:szCs w:val="24"/>
        </w:rPr>
        <w:t>5 липня 2020 року i вступають у силу для рiчних перiодiв, якi починаються з 1 сiчня 2023 року або пiсля цiєї дати). Змiни МСБО 1 щодо класифiкацiї зобов'язань як поточних або довгострокових зобов'язань були опублiкованi у сiчнi 2020 року з початковою датою</w:t>
      </w:r>
      <w:r>
        <w:rPr>
          <w:rFonts w:ascii="Times New Roman CYR" w:hAnsi="Times New Roman CYR" w:cs="Times New Roman CYR"/>
          <w:sz w:val="24"/>
          <w:szCs w:val="24"/>
        </w:rPr>
        <w:t xml:space="preserve"> набуття чинностi з 1 сiчня 2022 року. Проте у зв'язку з пандемiєю COVID-19 дату набуття чинностi було перенесено на один рiк, щоб надати органiзацiям бiльше часу для запровадження змiн, пов'язаних iз класифiкацiєю, у результатi внесення змiн. Наразi Компа</w:t>
      </w:r>
      <w:r>
        <w:rPr>
          <w:rFonts w:ascii="Times New Roman CYR" w:hAnsi="Times New Roman CYR" w:cs="Times New Roman CYR"/>
          <w:sz w:val="24"/>
          <w:szCs w:val="24"/>
        </w:rPr>
        <w:t>нiя  оцiнює вплив цих змiн на її фiнансову звiтнiсть.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МСБО 8: Визначення облiкових оцiнок (опублiкованi 12 лютого 2021 року та вступають в силу для рiчних перiодiв, якi починаються з 1 сiчня 2023 року або пiсля цiєї дати). Змiнений МСБО 8 уточнює, я</w:t>
      </w:r>
      <w:r>
        <w:rPr>
          <w:rFonts w:ascii="Times New Roman CYR" w:hAnsi="Times New Roman CYR" w:cs="Times New Roman CYR"/>
          <w:sz w:val="24"/>
          <w:szCs w:val="24"/>
        </w:rPr>
        <w:t xml:space="preserve">к компанiї повиннi вiдрiзняти змiни облiкової полiтики вiд змiн облiкових оцiнок.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Наразi Компанiя оцiнює вплив цих змiн на її фiнансову звiтнiсть.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МСБО 1 та Практичнi рекомендацiї iз застосування МСФЗ 2: розкриття облiкової полiтики (опублiкованi 12 лютого 2021 року та вступають у силу для рiчних перiодiв, якi починаються з 1 сiчня 2023 року або пiсля цiєї дати). Змiни МСБО 1 вимагають вiд орга</w:t>
      </w:r>
      <w:r>
        <w:rPr>
          <w:rFonts w:ascii="Times New Roman CYR" w:hAnsi="Times New Roman CYR" w:cs="Times New Roman CYR"/>
          <w:sz w:val="24"/>
          <w:szCs w:val="24"/>
        </w:rPr>
        <w:t>нiзацiй розкривати суттєву iнформацiю про облiкову полiтику, а не основнi положення облiкової полiтики. У змiненому стандартi наведено визначення суттєвої iнформацiї про облiкову полiтику. У змiненому стандартi також уточнюється, що iнформацiя про облiкову</w:t>
      </w:r>
      <w:r>
        <w:rPr>
          <w:rFonts w:ascii="Times New Roman CYR" w:hAnsi="Times New Roman CYR" w:cs="Times New Roman CYR"/>
          <w:sz w:val="24"/>
          <w:szCs w:val="24"/>
        </w:rPr>
        <w:t xml:space="preserve"> полiтику вважається суттєвою, якщо без неї користувачi фiнансової звiтностi не змогли б зрозумiти iншу суттєву iнформацiю, наведену у фiнансовiй звiтностi.  У змiненому стандартi наведено iлюстративнi приклади iнформацiї про облiкову полiтику, яка, ймовiр</w:t>
      </w:r>
      <w:r>
        <w:rPr>
          <w:rFonts w:ascii="Times New Roman CYR" w:hAnsi="Times New Roman CYR" w:cs="Times New Roman CYR"/>
          <w:sz w:val="24"/>
          <w:szCs w:val="24"/>
        </w:rPr>
        <w:t xml:space="preserve">но, вважатиметься суттєвою для фiнансової звiтностi органiзацiї.  Крiм того, змiнений МСБО 1 уточнює, що несуттєву iнформацiю про облiкову полiтику розкривати не потрiбно. Проте якщо вона розкривається, вона не повинна ускладнювати ознайомлення з суттєвою </w:t>
      </w:r>
      <w:r>
        <w:rPr>
          <w:rFonts w:ascii="Times New Roman CYR" w:hAnsi="Times New Roman CYR" w:cs="Times New Roman CYR"/>
          <w:sz w:val="24"/>
          <w:szCs w:val="24"/>
        </w:rPr>
        <w:t>iнформацiєю про облiкову полiтику.  У доповнення до цього змiненого стандарту були також переглянутi Практичнi рекомендацiї iз застосування МСФЗ 2, до яких було включено рекомендацiї щодо застосування концепцiї суттєвостi при розкриттi iнформацiї про облiк</w:t>
      </w:r>
      <w:r>
        <w:rPr>
          <w:rFonts w:ascii="Times New Roman CYR" w:hAnsi="Times New Roman CYR" w:cs="Times New Roman CYR"/>
          <w:sz w:val="24"/>
          <w:szCs w:val="24"/>
        </w:rPr>
        <w:t>ову полiтику. Наразi Компанiя  оцiнює вплив цих змiн на її фiнансову звiтнiсть.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МСФЗ 17 "Договори страхування" (опублiкований 18 травня 2017 року i вступає в силу для рiчних перiодiв, якi починаються з 1 сiчня 2023 року або пiсля цiєї дати). МСФЗ 17 замiн</w:t>
      </w:r>
      <w:r>
        <w:rPr>
          <w:rFonts w:ascii="Times New Roman CYR" w:hAnsi="Times New Roman CYR" w:cs="Times New Roman CYR"/>
          <w:sz w:val="24"/>
          <w:szCs w:val="24"/>
        </w:rPr>
        <w:t>ює МСФЗ 4, який дозволяв компанiям застосовувати iснуючу практику облiку договорiв страхування. Отже, iнвесторам було складно порiвнювати i зiставляти фiнансовi результати в iнших вiдносинах аналогiчних страхових компанiй. МСФЗ 17 є єдиним основаним на при</w:t>
      </w:r>
      <w:r>
        <w:rPr>
          <w:rFonts w:ascii="Times New Roman CYR" w:hAnsi="Times New Roman CYR" w:cs="Times New Roman CYR"/>
          <w:sz w:val="24"/>
          <w:szCs w:val="24"/>
        </w:rPr>
        <w:t>нципах стандартом облiку всiх видiв договорiв страхування, включаючи договори перестрахування, наявнi у страховика. Вiдповiдно до цього стандарту, визнання i оцiнка груп договорiв страхування повиннi виконуватися за: (i) приведеною вартiстю майбутнiх грошо</w:t>
      </w:r>
      <w:r>
        <w:rPr>
          <w:rFonts w:ascii="Times New Roman CYR" w:hAnsi="Times New Roman CYR" w:cs="Times New Roman CYR"/>
          <w:sz w:val="24"/>
          <w:szCs w:val="24"/>
        </w:rPr>
        <w:t>вих потокiв (грошовi потоки пiсля виконання договорiв), скоригованою з урахуванням ризику, в якiй врахована вся наявна iнформацiя про грошовi потоки пiсля виконання договорiв, яка вiдповiдає спостережуванiй ринковiй iнформацiї, плюс (якщо вартiсть є зобов'</w:t>
      </w:r>
      <w:r>
        <w:rPr>
          <w:rFonts w:ascii="Times New Roman CYR" w:hAnsi="Times New Roman CYR" w:cs="Times New Roman CYR"/>
          <w:sz w:val="24"/>
          <w:szCs w:val="24"/>
        </w:rPr>
        <w:t>язанням) чи мiнус (якщо вартiсть є активом) (ii) сумою, яка являє собою незароблений прибуток по групi договорiв (сервiсна маржа за договорами). Страховики вiдображатимуть прибуток вiд групи договорiв страхування за перiод, протягом якого вони надають стра</w:t>
      </w:r>
      <w:r>
        <w:rPr>
          <w:rFonts w:ascii="Times New Roman CYR" w:hAnsi="Times New Roman CYR" w:cs="Times New Roman CYR"/>
          <w:sz w:val="24"/>
          <w:szCs w:val="24"/>
        </w:rPr>
        <w:t>хове покриття, i в мiру того, як вони звiльняються вiд ризику. Якщо група договорiв є чи стає збитковою, органiзацiя негайно вiдображатиме збиток. Компанiя очiкує застосувати цей стандарт до деяких гарантiй виконання зобов'язань, якi вона видає та якi не в</w:t>
      </w:r>
      <w:r>
        <w:rPr>
          <w:rFonts w:ascii="Times New Roman CYR" w:hAnsi="Times New Roman CYR" w:cs="Times New Roman CYR"/>
          <w:sz w:val="24"/>
          <w:szCs w:val="24"/>
        </w:rPr>
        <w:t>iдповiдають визначенню зобов'язань iз надання кредитiв, i наразi оцiнює вплив цього нового стандарту на свою фiнансову звiтнiсть. Крiм того, розглядається потенцiйний вплив стандарту на страховi продукти, вбудованi у кредитнi договори й аналогiчнi iнструме</w:t>
      </w:r>
      <w:r>
        <w:rPr>
          <w:rFonts w:ascii="Times New Roman CYR" w:hAnsi="Times New Roman CYR" w:cs="Times New Roman CYR"/>
          <w:sz w:val="24"/>
          <w:szCs w:val="24"/>
        </w:rPr>
        <w:t>нти.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МСФЗ 17 та змiна МСФЗ 4 (опублiкованi 25 червня 2020 року i вступають у силу для рiчних перiодiв, якi починаються з 1 сiчня 2023 року або пiсля цiєї дати). Змiни включають роз'яснення для спрощення запровадження МСФЗ 17 i спрощення окремих вимо</w:t>
      </w:r>
      <w:r>
        <w:rPr>
          <w:rFonts w:ascii="Times New Roman CYR" w:hAnsi="Times New Roman CYR" w:cs="Times New Roman CYR"/>
          <w:sz w:val="24"/>
          <w:szCs w:val="24"/>
        </w:rPr>
        <w:t xml:space="preserve">г стандарту та перехiдних положень. Цi змiни стосуються восьми областей МСФЗ 17 i не передбачають змiни основоположних принципiв стандарту. До МСФЗ 17 були внесенi такi змiни: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Дата набуття чинностi: Дату набуття чинностi МСФЗ 17 (зi змiнами) вiдкладено н</w:t>
      </w:r>
      <w:r>
        <w:rPr>
          <w:rFonts w:ascii="Times New Roman CYR" w:hAnsi="Times New Roman CYR" w:cs="Times New Roman CYR"/>
          <w:sz w:val="24"/>
          <w:szCs w:val="24"/>
        </w:rPr>
        <w:t>а два роки. Стандарт має застосовуватися до рiчних звiтних перiодiв, якi починаються з 1 сiчня 2023 року або пiсля цiєї дати. Встановлений у МСФЗ 4 строк дiї тимчасового звiльнення вiд застосування МСФЗ 9 також перенесено на рiчнi звiтнi перiоди, якi почин</w:t>
      </w:r>
      <w:r>
        <w:rPr>
          <w:rFonts w:ascii="Times New Roman CYR" w:hAnsi="Times New Roman CYR" w:cs="Times New Roman CYR"/>
          <w:sz w:val="24"/>
          <w:szCs w:val="24"/>
        </w:rPr>
        <w:t>аються з 1 сiчня 2023 року або пiсля цiєї дати.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Очiкуване вiдшкодування страхових аквiзицiйних грошових потокiв: Органiзацiї повиннi вiдносити частину своїх аквiзицiйних витрат на вiдповiднi договори, якi очiкується подовжити, та визнавати такi витрати як</w:t>
      </w:r>
      <w:r>
        <w:rPr>
          <w:rFonts w:ascii="Times New Roman CYR" w:hAnsi="Times New Roman CYR" w:cs="Times New Roman CYR"/>
          <w:sz w:val="24"/>
          <w:szCs w:val="24"/>
        </w:rPr>
        <w:t xml:space="preserve"> активи до моменту визнання органiзацiєю подовження договору. Органiзацiї повиннi оцiнювати ймовiрнiсть вiдшкодування активу на кожну звiтну дату i надавати iнформацiю про конкретний актив у примiтках до фiнансової звiтностi.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Маржа за передбаченi договор</w:t>
      </w:r>
      <w:r>
        <w:rPr>
          <w:rFonts w:ascii="Times New Roman CYR" w:hAnsi="Times New Roman CYR" w:cs="Times New Roman CYR"/>
          <w:sz w:val="24"/>
          <w:szCs w:val="24"/>
        </w:rPr>
        <w:t>ом послуги, що вiдноситься на iнвестицiйнi послуги: Слiд iдентифiкувати одиницi покриття з урахуванням обсягу вигод i очiкуваного перiоду страхового покриття та iнвестицiйних послуг за договорами зi змiнними платежами та iншими договорами з послугами по от</w:t>
      </w:r>
      <w:r>
        <w:rPr>
          <w:rFonts w:ascii="Times New Roman CYR" w:hAnsi="Times New Roman CYR" w:cs="Times New Roman CYR"/>
          <w:sz w:val="24"/>
          <w:szCs w:val="24"/>
        </w:rPr>
        <w:t>риманню iнвестицiйного доходу вiдповiдно до загальної моделi. Витрати, пов'язанi з iнвестицiйною дiяльнiстю, слiд включати як грошовi потоки у межi договору страхування у тих випадках, в яких органiзацiя здiйснює таку дiяльнiсть для збiльшення вигод вiд ст</w:t>
      </w:r>
      <w:r>
        <w:rPr>
          <w:rFonts w:ascii="Times New Roman CYR" w:hAnsi="Times New Roman CYR" w:cs="Times New Roman CYR"/>
          <w:sz w:val="24"/>
          <w:szCs w:val="24"/>
        </w:rPr>
        <w:t xml:space="preserve">рахового покриття для власника страхового полiсу.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Утримуванi договори перестрахування - вiдшкодування збиткiв: Коли органiзацiя визнає збиток при первiсному визнаннi обтяжливої групи базових договорiв страхування чи при додаваннi обтяжливих базових догов</w:t>
      </w:r>
      <w:r>
        <w:rPr>
          <w:rFonts w:ascii="Times New Roman CYR" w:hAnsi="Times New Roman CYR" w:cs="Times New Roman CYR"/>
          <w:sz w:val="24"/>
          <w:szCs w:val="24"/>
        </w:rPr>
        <w:t>орiв страхування до групи, органiзацiя повинна скоригувати маржу за передбаченi договором послуги вiдповiдної групи утримуваних договорiв перестрахування i визнати прибуток за такими договорами перестрахування. Сума збитку, вiдшкодованого за утримуваним до</w:t>
      </w:r>
      <w:r>
        <w:rPr>
          <w:rFonts w:ascii="Times New Roman CYR" w:hAnsi="Times New Roman CYR" w:cs="Times New Roman CYR"/>
          <w:sz w:val="24"/>
          <w:szCs w:val="24"/>
        </w:rPr>
        <w:t>говором перестрахування, визначається множенням збитку, визнаного за базовими договорами страхування, на процент вимог за базовими договорами страхування, який органiзацiя очiкує вiдшкодувати за утримуваним договором перестрахування. Ця вимога застосовуват</w:t>
      </w:r>
      <w:r>
        <w:rPr>
          <w:rFonts w:ascii="Times New Roman CYR" w:hAnsi="Times New Roman CYR" w:cs="Times New Roman CYR"/>
          <w:sz w:val="24"/>
          <w:szCs w:val="24"/>
        </w:rPr>
        <w:t xml:space="preserve">иметься тiльки у тому випадку, коли утримуваний договiр перестрахування визнається до визнання збитку вiд базового договору страхування або одночасно з таким визнанням.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змiни: Iншi змiни включають виключення зi сфери застосування для певних договорi</w:t>
      </w:r>
      <w:r>
        <w:rPr>
          <w:rFonts w:ascii="Times New Roman CYR" w:hAnsi="Times New Roman CYR" w:cs="Times New Roman CYR"/>
          <w:sz w:val="24"/>
          <w:szCs w:val="24"/>
        </w:rPr>
        <w:t>в кредитних карт (або аналогiчних договорiв) i для певних кредитних договорiв; представлення активiв i зобов'язань за договорами страхування у звiтi про фiнансовий стан у портфелях, а не в групах; застосовнiсть варiанту зниження ризику при зниженнi фiнансо</w:t>
      </w:r>
      <w:r>
        <w:rPr>
          <w:rFonts w:ascii="Times New Roman CYR" w:hAnsi="Times New Roman CYR" w:cs="Times New Roman CYR"/>
          <w:sz w:val="24"/>
          <w:szCs w:val="24"/>
        </w:rPr>
        <w:t>вих ризикiв за допомогою утримуваних договорiв перестрахування та непохiдних фiнансових iнструментiв за справедливою вартiстю через прибуток чи збиток; вибiр облiкової полiтики для змiни оцiнок, зроблених у попереднiй промiжнiй фiнансовiй звiтностi, при за</w:t>
      </w:r>
      <w:r>
        <w:rPr>
          <w:rFonts w:ascii="Times New Roman CYR" w:hAnsi="Times New Roman CYR" w:cs="Times New Roman CYR"/>
          <w:sz w:val="24"/>
          <w:szCs w:val="24"/>
        </w:rPr>
        <w:t xml:space="preserve">стосуваннi МСФЗ 17; включення платежiв i надходжень з податку на прибуток, що вiдносяться на конкретного власника страхового полiсу, за умовами договору страхування до грошових потокiв; i вибiркове звiльнення вiд вимог протягом перехiдного перiоду та iншi </w:t>
      </w:r>
      <w:r>
        <w:rPr>
          <w:rFonts w:ascii="Times New Roman CYR" w:hAnsi="Times New Roman CYR" w:cs="Times New Roman CYR"/>
          <w:sz w:val="24"/>
          <w:szCs w:val="24"/>
        </w:rPr>
        <w:t xml:space="preserve">незначнi змiни.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МСФЗ 17 "Перехiдна опцiя для страхових компанiй, що застосовують МСФЗ 17" (опублiкованi 9 грудня 2021 року i вступають у силу для рiчних перiодiв, якi починаються з 1 сiчня 2023 року або пiсля цiєї дати). Змiна до перехiдних положен</w:t>
      </w:r>
      <w:r>
        <w:rPr>
          <w:rFonts w:ascii="Times New Roman CYR" w:hAnsi="Times New Roman CYR" w:cs="Times New Roman CYR"/>
          <w:sz w:val="24"/>
          <w:szCs w:val="24"/>
        </w:rPr>
        <w:t xml:space="preserve">ь МСФЗ 17 надає страховим компанiям опцiю, спрямовану на пiдвищення корисностi iнформацiї, яка надається iнвесторам при початковому застосуваннi МСФЗ 17. Змiна стосується лише переходу страхових компанiй на облiк згiдно з МСФЗ 17 та не впливає на будь-якi </w:t>
      </w:r>
      <w:r>
        <w:rPr>
          <w:rFonts w:ascii="Times New Roman CYR" w:hAnsi="Times New Roman CYR" w:cs="Times New Roman CYR"/>
          <w:sz w:val="24"/>
          <w:szCs w:val="24"/>
        </w:rPr>
        <w:t>iншi вимоги МСФЗ 17. Перехiднi положення МСФЗ 17 та МСФЗ 9 застосовуються на рiзнi дати та призведуть до таких разових вiдмiнностей у класифiкацiї у порiвняльнiй iнформацiї, представленiй станом на дату початкового застосування МСФЗ 17: облiкова невiдповiд</w:t>
      </w:r>
      <w:r>
        <w:rPr>
          <w:rFonts w:ascii="Times New Roman CYR" w:hAnsi="Times New Roman CYR" w:cs="Times New Roman CYR"/>
          <w:sz w:val="24"/>
          <w:szCs w:val="24"/>
        </w:rPr>
        <w:t>нiсть мiж зобов'язаннями за договорами страхування, що оцiнюються за поточною вартiстю, та вiдповiдними фiнансовими активами, що оцiнюються за амортизованою вартiстю, а також, якщо органiзацiя прийняла рiшення скоригувати порiвняльну iнформацiю у вiдповiдн</w:t>
      </w:r>
      <w:r>
        <w:rPr>
          <w:rFonts w:ascii="Times New Roman CYR" w:hAnsi="Times New Roman CYR" w:cs="Times New Roman CYR"/>
          <w:sz w:val="24"/>
          <w:szCs w:val="24"/>
        </w:rPr>
        <w:t>остi до вимог МСФЗ 9, вiдмiнностi мiж класифiкацiєю фiнансових активiв, визнання яких припинене за порiвняльний перiод (до яких МСФЗ 9 не застосовується), та iнших фiнансових активiв (до яких МСФЗ 9 застосовується). Змiна стандарту допоможе страховим компа</w:t>
      </w:r>
      <w:r>
        <w:rPr>
          <w:rFonts w:ascii="Times New Roman CYR" w:hAnsi="Times New Roman CYR" w:cs="Times New Roman CYR"/>
          <w:sz w:val="24"/>
          <w:szCs w:val="24"/>
        </w:rPr>
        <w:t>нiям уникнути цих тимчасових облiкових невiдповiдностей, а отже, пiдвищить кориснiсть порiвняльної iнформацiї для iнвесторiв. Для цього страховим компанiям надається опцiя щодо представлення порiвняльної iнформацiї про фiнансовi активи. При початковому зас</w:t>
      </w:r>
      <w:r>
        <w:rPr>
          <w:rFonts w:ascii="Times New Roman CYR" w:hAnsi="Times New Roman CYR" w:cs="Times New Roman CYR"/>
          <w:sz w:val="24"/>
          <w:szCs w:val="24"/>
        </w:rPr>
        <w:t>тосуваннi МСФЗ 17 органiзацiям для цiлей представлення порiвняльної iнформацiї дозволяється застосовувати пiдхiд накладання при класифiкацiї фiнансових активiв, за якими органiзацiя не коригує порiвняльну iнформацiю згiдно з МСФЗ 9. Перехiдна опцiя може за</w:t>
      </w:r>
      <w:r>
        <w:rPr>
          <w:rFonts w:ascii="Times New Roman CYR" w:hAnsi="Times New Roman CYR" w:cs="Times New Roman CYR"/>
          <w:sz w:val="24"/>
          <w:szCs w:val="24"/>
        </w:rPr>
        <w:t xml:space="preserve">стосовуватися окремо за кожним iнструментом, дозволяє органiзацiї представляти порiвняльну iнформацiю так, якби до цього фiнансового активу застосовувалися вимоги МСФЗ 9 щодо класифiкацiї та оцiнки, але не вимагає вiд органiзацiї застосовувати вимоги МСФЗ </w:t>
      </w:r>
      <w:r>
        <w:rPr>
          <w:rFonts w:ascii="Times New Roman CYR" w:hAnsi="Times New Roman CYR" w:cs="Times New Roman CYR"/>
          <w:sz w:val="24"/>
          <w:szCs w:val="24"/>
        </w:rPr>
        <w:t>9 щодо знецiнення, а також вимагає вiд органiзацiй, якi застосовують при класифiкацiї фiнансового активу пiдхiд накладання, використовувати обгрунтовану та пiдтверджувану iнформацiю, наявну на дату переходу на облiк згiдно зi стандартом для визначення того</w:t>
      </w:r>
      <w:r>
        <w:rPr>
          <w:rFonts w:ascii="Times New Roman CYR" w:hAnsi="Times New Roman CYR" w:cs="Times New Roman CYR"/>
          <w:sz w:val="24"/>
          <w:szCs w:val="24"/>
        </w:rPr>
        <w:t>, як органiзацiя очiкує класифiкувати цей фiнансовий актив iз застосуванням МСФЗ 9.</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Наразi Компанiя  оцiнює МСФЗ 17 та пов'язаних з ним змiн на її фiнансову звiтнiсть.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iнше не зазначено вище, не очiкується суттєвого впливу цих нових стандартiв та i</w:t>
      </w:r>
      <w:r>
        <w:rPr>
          <w:rFonts w:ascii="Times New Roman CYR" w:hAnsi="Times New Roman CYR" w:cs="Times New Roman CYR"/>
          <w:sz w:val="24"/>
          <w:szCs w:val="24"/>
        </w:rPr>
        <w:t>нтерпретацiй на фiнансову звiтнiстьКомпанiї.</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2.3. Валюта подання звiтностi та функцiональна валюта, ступiнь округлення. Ця фiнансова звiтнiсть складена в нацiональнiй валютi України - гривнях, якщо iнше не зазначено в окремих звiтах та примiтках. Одиниця </w:t>
      </w:r>
      <w:r>
        <w:rPr>
          <w:rFonts w:ascii="Times New Roman CYR" w:hAnsi="Times New Roman CYR" w:cs="Times New Roman CYR"/>
          <w:sz w:val="24"/>
          <w:szCs w:val="24"/>
        </w:rPr>
        <w:t>вимiру - тисяча гривень.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2.4. Припущення про безперервнiсть дiяльностi.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Фiнансова звiтнiсть АТ "CК" "САТIС" складена, виходячи з припущення безперервностi дiяльностi, вiдповiдно до якого реалiзацiя активiв i погашення зобов'язань вiдбувається в ходi звичайної дiяльностi.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 кiнця 2019 року розпочалося поширення нового к</w:t>
      </w:r>
      <w:r>
        <w:rPr>
          <w:rFonts w:ascii="Times New Roman CYR" w:hAnsi="Times New Roman CYR" w:cs="Times New Roman CYR"/>
          <w:sz w:val="24"/>
          <w:szCs w:val="24"/>
        </w:rPr>
        <w:t>оронавiрусу, який отримав назву COVID-19, здатного викликати важкi наслiдки, що призводять до загибелi людини. На кiнець 2019р. Всесвiтня органiзацiя охорони здоров'я повiдомляла про обмежене число випадкiв зараження COVID-19, але 31 сiчня 2020 року оголос</w:t>
      </w:r>
      <w:r>
        <w:rPr>
          <w:rFonts w:ascii="Times New Roman CYR" w:hAnsi="Times New Roman CYR" w:cs="Times New Roman CYR"/>
          <w:sz w:val="24"/>
          <w:szCs w:val="24"/>
        </w:rPr>
        <w:t>ила надзвичайну ситуацiю в областi охорони здоров'я, а 13 березня 2020 року - про початок пандемiї в зв'язку зi стрiмким поширенням COVID-19 в Європi та iнших регiонах. Заходи, що вживаються по всьому свiту з метою боротьби з поширенням COVID-19, призводят</w:t>
      </w:r>
      <w:r>
        <w:rPr>
          <w:rFonts w:ascii="Times New Roman CYR" w:hAnsi="Times New Roman CYR" w:cs="Times New Roman CYR"/>
          <w:sz w:val="24"/>
          <w:szCs w:val="24"/>
        </w:rPr>
        <w:t>ь до необхiдностi обмеження дiлової активностi, що впливає на Компанiя, а також до необхiдностi профiлактичних заходiв, спрямованих на запобiгання поширенню iнфекцiї. Для зменшення ризику щодо впливу подiй на фiнансову дiяльнiсть Компанiї, пов'язаних зi сп</w:t>
      </w:r>
      <w:r>
        <w:rPr>
          <w:rFonts w:ascii="Times New Roman CYR" w:hAnsi="Times New Roman CYR" w:cs="Times New Roman CYR"/>
          <w:sz w:val="24"/>
          <w:szCs w:val="24"/>
        </w:rPr>
        <w:t>алахом коронавiрусу COVID-19, Товариство вживає  належнi заходи на пiдтримку стабiльностi  та безперервностi його дiяльностi. Зазначенi вище подiї  не є такими, що мають суттєвий вплив на дiяльнiсть i розвиток Компанiї, не є такими, що спричиняють будь-якi</w:t>
      </w:r>
      <w:r>
        <w:rPr>
          <w:rFonts w:ascii="Times New Roman CYR" w:hAnsi="Times New Roman CYR" w:cs="Times New Roman CYR"/>
          <w:sz w:val="24"/>
          <w:szCs w:val="24"/>
        </w:rPr>
        <w:t xml:space="preserve"> невизначеностi щодо безперервної дiяльностi Компанiї, i не потребують коригування або розкриття у фiнансовiй звiтностi та примiтках до неї.</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24 лютого 2022 року, Росiйська Федерацiя розпочала неспровоковану повномасштабну воєнну агресiю в Українi. Негайно</w:t>
      </w:r>
      <w:r>
        <w:rPr>
          <w:rFonts w:ascii="Times New Roman CYR" w:hAnsi="Times New Roman CYR" w:cs="Times New Roman CYR"/>
          <w:sz w:val="24"/>
          <w:szCs w:val="24"/>
        </w:rPr>
        <w:t xml:space="preserve"> пiсля цього урядом України було введено воєнний стан та вiдповiднi тимчасовi обмеження, якi впливають на економiчнi умови. Додаткову iнформацiю про цi подiї пiсля закiнчення звiтного перiоду наведено також у Примiтцi 6.22.</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Оскiльки росiйське воєнне вторг</w:t>
      </w:r>
      <w:r>
        <w:rPr>
          <w:rFonts w:ascii="Times New Roman CYR" w:hAnsi="Times New Roman CYR" w:cs="Times New Roman CYR"/>
          <w:sz w:val="24"/>
          <w:szCs w:val="24"/>
        </w:rPr>
        <w:t>нення в Україну вiдбувається з численних напрямкiв, деякi регiони України залишаються ареною iнтенсивних бойових дiй або тимчасово окупованi. Товариство провадить дiяльнiсть та надає послуги на всiй територiї Українi за винятком тимчасово окупованих терито</w:t>
      </w:r>
      <w:r>
        <w:rPr>
          <w:rFonts w:ascii="Times New Roman CYR" w:hAnsi="Times New Roman CYR" w:cs="Times New Roman CYR"/>
          <w:sz w:val="24"/>
          <w:szCs w:val="24"/>
        </w:rPr>
        <w:t>рiй. Отже, цi подiї мають суттєвий негативний вплив на українську економiку i, вiдповiдно, на бiзнес, фiнансовий стан та результати дiяльностi Компанiї.</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дату випуску цiєї фiнансової звiтностi не було пошкоджень критично важливих активiв, якi пер</w:t>
      </w:r>
      <w:r>
        <w:rPr>
          <w:rFonts w:ascii="Times New Roman CYR" w:hAnsi="Times New Roman CYR" w:cs="Times New Roman CYR"/>
          <w:sz w:val="24"/>
          <w:szCs w:val="24"/>
        </w:rPr>
        <w:t>ешкоджали б Товариству продовжувати дiяльнiсть. Компанiя не має суттєвих активiв у зонi активних воєнних дiй або на тимчасово окупованих територiях.</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разi найгiршого сценарiю розвитку подiй, за якого iнтенсивнi воєннi дiї вiдбуватимуться по всiй територi</w:t>
      </w:r>
      <w:r>
        <w:rPr>
          <w:rFonts w:ascii="Times New Roman CYR" w:hAnsi="Times New Roman CYR" w:cs="Times New Roman CYR"/>
          <w:sz w:val="24"/>
          <w:szCs w:val="24"/>
        </w:rPr>
        <w:t>ї України, можна припустити, що це матиме вплив на дiяльнiсть Товариства, тривалiсть якого неможливо спрогнозувати. Цi обставини являють собою фактор невизначеностi поза контролем Товариства.</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проаналiзувало здатнiсть Товариства продовжувати по</w:t>
      </w:r>
      <w:r>
        <w:rPr>
          <w:rFonts w:ascii="Times New Roman CYR" w:hAnsi="Times New Roman CYR" w:cs="Times New Roman CYR"/>
          <w:sz w:val="24"/>
          <w:szCs w:val="24"/>
        </w:rPr>
        <w:t>дальшу безперервну дiяльнiсть станом на дату випуску цiєї фiнансової звiтностi та дiйшло висновку, що iснує лише один суттєвий фактор невизначеностi щодо подальшої значної ескалацiї воєнних дiй, що може призвести до дестабiлiзацiї дiяльностi Товариства, як</w:t>
      </w:r>
      <w:r>
        <w:rPr>
          <w:rFonts w:ascii="Times New Roman CYR" w:hAnsi="Times New Roman CYR" w:cs="Times New Roman CYR"/>
          <w:sz w:val="24"/>
          <w:szCs w:val="24"/>
        </w:rPr>
        <w:t>ий може викликати значнi сумнiви у спроможностi Товариства продовжувати безперервну дiяльнiсть. Отже, Товариство може бути не в змозi реалiзувати свої активи та погасити зобов'язання за звичайного перебiгу господарської дiяльностi. Спираючись на цi фактори</w:t>
      </w:r>
      <w:r>
        <w:rPr>
          <w:rFonts w:ascii="Times New Roman CYR" w:hAnsi="Times New Roman CYR" w:cs="Times New Roman CYR"/>
          <w:sz w:val="24"/>
          <w:szCs w:val="24"/>
        </w:rPr>
        <w:t>, керiвництво обгрунтовано очiкує наявнiсть у Товариства достатнiх ресурсiв для управлiння дiяльнiстю протягом наступних дванадцяти мiсяцiв з дати цiєї фiнансової звiтностi. Керiвництво продовжить вiдстежувати потенцiйний вплив та вживатиме усiх можливих з</w:t>
      </w:r>
      <w:r>
        <w:rPr>
          <w:rFonts w:ascii="Times New Roman CYR" w:hAnsi="Times New Roman CYR" w:cs="Times New Roman CYR"/>
          <w:sz w:val="24"/>
          <w:szCs w:val="24"/>
        </w:rPr>
        <w:t>аходiв для мiнiмiзацiї будь-яких наслiдкiв.</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 урахуванням цих та iнших заходiв керiвництво Товариства дiйшло висновку, що застосування припущення про безперервнiсть дiяльностi для пiдготовки фiнансової звiтностi є доцiльним</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2.5. Рiшення про затвердження </w:t>
      </w:r>
      <w:r>
        <w:rPr>
          <w:rFonts w:ascii="Times New Roman CYR" w:hAnsi="Times New Roman CYR" w:cs="Times New Roman CYR"/>
          <w:sz w:val="24"/>
          <w:szCs w:val="24"/>
        </w:rPr>
        <w:t>фiнансової звiтностi. Фiнансова звiтнiсть Товариства затверджена 20 квiтня 2023 року до випуску (з метою оприлюднення)  Нi учасники Товариства, нi iншi особи не мають права вносити змiни до цiєї фiнансової звiтностi пiсля її затвердження до випуску.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2.6. </w:t>
      </w:r>
      <w:r>
        <w:rPr>
          <w:rFonts w:ascii="Times New Roman CYR" w:hAnsi="Times New Roman CYR" w:cs="Times New Roman CYR"/>
          <w:sz w:val="24"/>
          <w:szCs w:val="24"/>
        </w:rPr>
        <w:t>Звiтний перiод фiнансової звiтностi. Звiтним перiодом, за який формується дана промiжна фiнансова звiтнiсть, вважається  квартал, тобто перiод з 01 сiчня по 30 червня  2023 року.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Принципи облiкової полiтики.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3.1. Основи оцiнки складання фiнансової звiт</w:t>
      </w:r>
      <w:r>
        <w:rPr>
          <w:rFonts w:ascii="Times New Roman CYR" w:hAnsi="Times New Roman CYR" w:cs="Times New Roman CYR"/>
          <w:sz w:val="24"/>
          <w:szCs w:val="24"/>
        </w:rPr>
        <w:t>ностi. Фiнансовi звiти складенi на основi принципу безперервної дiяльностi Товариства, який передбачає реалiзацiю активiв та погашення зобов'язань при звичайному веденнi господарської дiяльностi. Складення фiнансових звiтiв вимагає вiд управлiнського персо</w:t>
      </w:r>
      <w:r>
        <w:rPr>
          <w:rFonts w:ascii="Times New Roman CYR" w:hAnsi="Times New Roman CYR" w:cs="Times New Roman CYR"/>
          <w:sz w:val="24"/>
          <w:szCs w:val="24"/>
        </w:rPr>
        <w:t xml:space="preserve">налу здiйснення попереднiх оцiнок та припущень. Через невизначенiсть, властиву здiйсненню таких попереднiх оцiнок, фактичнi результати можуть базуватися на сумах, що вiдрiзняються вiд таких попереднiх оцiнок.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Суттєвi критерiї визнання та оцiнки  видiв а</w:t>
      </w:r>
      <w:r>
        <w:rPr>
          <w:rFonts w:ascii="Times New Roman CYR" w:hAnsi="Times New Roman CYR" w:cs="Times New Roman CYR"/>
          <w:sz w:val="24"/>
          <w:szCs w:val="24"/>
        </w:rPr>
        <w:t>ктивiв та зобов'язань, доходiв та витрат якi застосовувались при пiдготовцi цих фiнансових звiтiв наведенi в наступних примiтках.</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3.2. Грошовi кошти та їх еквiваленти. Грошовi кошти та їх еквiваленти являють собою активи, якi вiльно конвертуються у готiвк</w:t>
      </w:r>
      <w:r>
        <w:rPr>
          <w:rFonts w:ascii="Times New Roman CYR" w:hAnsi="Times New Roman CYR" w:cs="Times New Roman CYR"/>
          <w:sz w:val="24"/>
          <w:szCs w:val="24"/>
        </w:rPr>
        <w:t xml:space="preserve">у i якi пiдлягають незначному ризику змiн у вартостi. Грошовi кошти та їх еквiваленти включають готiвку в касi, та залишки на рахунках в банкiвських установах.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та їх еквiваленти визнаються за умови вiдповiдностi критерiям визнання активами.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Первiсна та подальша оцiнка грошових коштiв та їх еквiвалентiв здiйснюється за справедливою вартiстю, яка дорiвнює їх номiнальнiй вартостi.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 разi обмеження права використання коштiв на поточних рахунках в у банках (наприклад, у випадку призначення НБУ </w:t>
      </w:r>
      <w:r>
        <w:rPr>
          <w:rFonts w:ascii="Times New Roman CYR" w:hAnsi="Times New Roman CYR" w:cs="Times New Roman CYR"/>
          <w:sz w:val="24"/>
          <w:szCs w:val="24"/>
        </w:rPr>
        <w:t>в банкiвськiй установi тимчасової адмiнiстрацiї) цi активи можуть бути класифiкованi у складi непоточних активiв. У випадку прийняття НБУ рiшення про лiквiдацiю банкiвської установи та вiдсутностi ймовiрностi повернення грошових коштiв, визнання їх як акти</w:t>
      </w:r>
      <w:r>
        <w:rPr>
          <w:rFonts w:ascii="Times New Roman CYR" w:hAnsi="Times New Roman CYR" w:cs="Times New Roman CYR"/>
          <w:sz w:val="24"/>
          <w:szCs w:val="24"/>
        </w:rPr>
        <w:t>ву припиняється i їх вартiсть вiдображається у складi збиткiв звiтного перiоду.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3.3. Фiнансовi активи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 фiнансових iнструментiв Товариством здiйснюється вiдповiдно до МСФЗ 9 "Фiнансовi iнструменти", МСФЗ 7 "Фiнансовi iнструменти: розкриття iнформацiї</w:t>
      </w:r>
      <w:r>
        <w:rPr>
          <w:rFonts w:ascii="Times New Roman CYR" w:hAnsi="Times New Roman CYR" w:cs="Times New Roman CYR"/>
          <w:sz w:val="24"/>
          <w:szCs w:val="24"/>
        </w:rPr>
        <w:t>", МСФЗ 32 "Фiнансовi iнструменти: подання", МСБО 28 "Iнвестицiї в асоцiйованi пiдприємства". Фiнансовi активи та фiнансовi зобов'язання визнаються у Звiтi про фiнансовий стан Товариства у той момент, коли Товариство стає стороною контрактних зобов'язань щ</w:t>
      </w:r>
      <w:r>
        <w:rPr>
          <w:rFonts w:ascii="Times New Roman CYR" w:hAnsi="Times New Roman CYR" w:cs="Times New Roman CYR"/>
          <w:sz w:val="24"/>
          <w:szCs w:val="24"/>
        </w:rPr>
        <w:t>одо вiдповiдного iнструменту. Товариство має такi категорiї фiнансових iнструментiв: Фiнансовi активи - основнi термiни, пов'язанi з оцiнкою. Залежно вiд мети з якою вони були  придбанi, фiнансовi активи класифiкуються як такi, що:</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оцiнюються за справед</w:t>
      </w:r>
      <w:r>
        <w:rPr>
          <w:rFonts w:ascii="Times New Roman CYR" w:hAnsi="Times New Roman CYR" w:cs="Times New Roman CYR"/>
          <w:sz w:val="24"/>
          <w:szCs w:val="24"/>
        </w:rPr>
        <w:t xml:space="preserve">ливою вартiстю через прибуток та збиток;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що утримуються до погашення, та облiковуються за амортизованою вартiстю;</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займи та дебiторська заборгованiсть;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 фiнансовi активи в наявностi для продажу, якi облiковуються  за справедливою вартiстю через зм</w:t>
      </w:r>
      <w:r>
        <w:rPr>
          <w:rFonts w:ascii="Times New Roman CYR" w:hAnsi="Times New Roman CYR" w:cs="Times New Roman CYR"/>
          <w:sz w:val="24"/>
          <w:szCs w:val="24"/>
        </w:rPr>
        <w:t>iни в капiталi.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фiнансових активiв, що оцiнюються за справедливою вартiстю Товариство вiдносить цiннi папери, якi придбавалися для торгових операцiй, яким притаманна швидка лiквiднiсть, та   по яких є можливiсть визначення справедливої вартостi на пiдс</w:t>
      </w:r>
      <w:r>
        <w:rPr>
          <w:rFonts w:ascii="Times New Roman CYR" w:hAnsi="Times New Roman CYR" w:cs="Times New Roman CYR"/>
          <w:sz w:val="24"/>
          <w:szCs w:val="24"/>
        </w:rPr>
        <w:t>тавi бiржових торгiв.</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фiнансових активiв, утримуваних до погашення, Товариство вiдносить облiгацiї та векселi, що їх Товариство має реальний намiр та здатнiсть утримувати до погашення. Пiсля первiсного визнання Товариство оцiнює їх за амортизованою соб</w:t>
      </w:r>
      <w:r>
        <w:rPr>
          <w:rFonts w:ascii="Times New Roman CYR" w:hAnsi="Times New Roman CYR" w:cs="Times New Roman CYR"/>
          <w:sz w:val="24"/>
          <w:szCs w:val="24"/>
        </w:rPr>
        <w:t>iвартiстю, застосовуючи метод ефективного вiдсотка, за вирахуванням збиткiв вiд знецiнення, якщо вони є.</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 фiнансових активiв доступних для продажу, Товариство вiдносить iнвестицiї якi не пiдпадають пiд вищезазначенi категорiї. Пiсля первiсного визнання </w:t>
      </w:r>
      <w:r>
        <w:rPr>
          <w:rFonts w:ascii="Times New Roman CYR" w:hAnsi="Times New Roman CYR" w:cs="Times New Roman CYR"/>
          <w:sz w:val="24"/>
          <w:szCs w:val="24"/>
        </w:rPr>
        <w:t>Товариство оцiнює їх за справедливою вартiстю. Результати вiд змiни справедливої вартостi доступного для продажу фiнансового активу визнаються прямо у власному капiталi з вiдображенням у звiтi про змiни у власному капiталi, за винятком збиткiв вiд зменшенн</w:t>
      </w:r>
      <w:r>
        <w:rPr>
          <w:rFonts w:ascii="Times New Roman CYR" w:hAnsi="Times New Roman CYR" w:cs="Times New Roman CYR"/>
          <w:sz w:val="24"/>
          <w:szCs w:val="24"/>
        </w:rPr>
        <w:t>я корисностi та збиткiв вiд коливань курсу iноземної валюти, доки визнання фiнансового активу не буде припинено, коли кумулятивний прибуток або збиток, визнаний ранiше у власному капiталi, слiд визнавати у прибутку чи збитку.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iснує об'єктивне свiдчен</w:t>
      </w:r>
      <w:r>
        <w:rPr>
          <w:rFonts w:ascii="Times New Roman CYR" w:hAnsi="Times New Roman CYR" w:cs="Times New Roman CYR"/>
          <w:sz w:val="24"/>
          <w:szCs w:val="24"/>
        </w:rPr>
        <w:t>ня зменшення корисностi фiнансового активу, доступного для продажу, сума кумулятивного збитку виключається з власного капiталу i визнається у прибутку чи збитку. Неринковi акцiї, справедливу вартiсть яких неможливо визначити, облiковуються за собiвартiстю,</w:t>
      </w:r>
      <w:r>
        <w:rPr>
          <w:rFonts w:ascii="Times New Roman CYR" w:hAnsi="Times New Roman CYR" w:cs="Times New Roman CYR"/>
          <w:sz w:val="24"/>
          <w:szCs w:val="24"/>
        </w:rPr>
        <w:t xml:space="preserve"> за вирахуванням збиткiв вiд знецiнення, якщо вони є.</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 фiнансових iнвестицiй Компанiя веде з врахуванням вимог МСФО 28 "Iнвестицiї  в асоцiйованi та спiльнi пiдприємства" методом участi в капiталi. Згiдно з методом участi в капiталi, при первiсному в</w:t>
      </w:r>
      <w:r>
        <w:rPr>
          <w:rFonts w:ascii="Times New Roman CYR" w:hAnsi="Times New Roman CYR" w:cs="Times New Roman CYR"/>
          <w:sz w:val="24"/>
          <w:szCs w:val="24"/>
        </w:rPr>
        <w:t>изнаннi iнвестицiя в асоцiйоване або спiльне пiдприємство визнається за собiвартiстю i згодом її балансова вартiсть збiльшується або зменшується для визнання частки iнвестора в прибутку або збитку об'єкта iнвестування пiсля дати придбання. Частка iнвестора</w:t>
      </w:r>
      <w:r>
        <w:rPr>
          <w:rFonts w:ascii="Times New Roman CYR" w:hAnsi="Times New Roman CYR" w:cs="Times New Roman CYR"/>
          <w:sz w:val="24"/>
          <w:szCs w:val="24"/>
        </w:rPr>
        <w:t xml:space="preserve"> в прибутку або збитку об'єкта iнвестування визнається в прибутку або збитку iнвестора. Виплати, отриманi вiд об'єкта iнвестування, зменшують балансову вартiсть iнвестицiї. Коригування балансової вартостi можуть бути необхiдними й при змiнi пропорцiйної ча</w:t>
      </w:r>
      <w:r>
        <w:rPr>
          <w:rFonts w:ascii="Times New Roman CYR" w:hAnsi="Times New Roman CYR" w:cs="Times New Roman CYR"/>
          <w:sz w:val="24"/>
          <w:szCs w:val="24"/>
        </w:rPr>
        <w:t>стки iнвестора в об'єктi iнвестування, яка виникає вiд змiн в iнших сукупних прибутках об'єкта iнвестування. Такi змiни включають i змiни, що виникають вiд переоцiнки основних засобiв та вiд рiзницi у валютних курсах. Частка iнвестора в цих змiнах визнаєть</w:t>
      </w:r>
      <w:r>
        <w:rPr>
          <w:rFonts w:ascii="Times New Roman CYR" w:hAnsi="Times New Roman CYR" w:cs="Times New Roman CYR"/>
          <w:sz w:val="24"/>
          <w:szCs w:val="24"/>
        </w:rPr>
        <w:t xml:space="preserve">ся в iншому сукупному прибутку iнвестора.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Знецiнення активiв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Згiдно з вимогами МСБО 36 "Знецiнення активiв", вартiсть активу повинна розраховуватися, як нижча з двох нижче певних величин: або чиста вартiсть реалiзацiї, або прибутковiсть використання активу. Чиста вартiсть реалiзацiї - це сума, яку можна отримати вiд</w:t>
      </w:r>
      <w:r>
        <w:rPr>
          <w:rFonts w:ascii="Times New Roman CYR" w:hAnsi="Times New Roman CYR" w:cs="Times New Roman CYR"/>
          <w:sz w:val="24"/>
          <w:szCs w:val="24"/>
        </w:rPr>
        <w:t xml:space="preserve"> продажу активу незв'язаним сторонам, яка здiйснюється при нормальних обставинах за вирахуванням прямих витрат на   продаж. Прибуток вiд використання активу - це справжня вартiсть очiкуваних грошових потокiв вiд використання активу протягом термiну корисно</w:t>
      </w:r>
      <w:r>
        <w:rPr>
          <w:rFonts w:ascii="Times New Roman CYR" w:hAnsi="Times New Roman CYR" w:cs="Times New Roman CYR"/>
          <w:sz w:val="24"/>
          <w:szCs w:val="24"/>
        </w:rPr>
        <w:t>ї експлуатацiї цього активу i вiд його лiквiдацiї.</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МСФЗ (IFRS) 9 вимагає, щоб компанiї оцiнювали i враховували очiкуванi кредитнi збитки по всiм вiдповiдним фiнансовим активам (в основному, це борговi цiннi папери, дебiторська заборгованiсть, включаючи де</w:t>
      </w:r>
      <w:r>
        <w:rPr>
          <w:rFonts w:ascii="Times New Roman CYR" w:hAnsi="Times New Roman CYR" w:cs="Times New Roman CYR"/>
          <w:sz w:val="24"/>
          <w:szCs w:val="24"/>
        </w:rPr>
        <w:t>бiторську заборгованiсть по орендi, активи за договорами вiдповiдно до IFRS 15, позики), починаючи з моменту первинного придбання фiнансового iнструменту.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Так, вiдповiдно до моделi очiкуваних кредитних збиткiв, в результатi застосування МСФЗ 9,  Товариств</w:t>
      </w:r>
      <w:r>
        <w:rPr>
          <w:rFonts w:ascii="Times New Roman CYR" w:hAnsi="Times New Roman CYR" w:cs="Times New Roman CYR"/>
          <w:sz w:val="24"/>
          <w:szCs w:val="24"/>
        </w:rPr>
        <w:t>о визнає очiкуванi кредитнi збитки та їх змiну кiнець року, вiдображаючи змiни кредитного ризику вiд дати первiсного визнання.</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3.4. Основнi засоби. На дату балансу основнi засоби (крiм групи "будiвлi i споруди") облiковуються за  первiсною вартiстю (собiв</w:t>
      </w:r>
      <w:r>
        <w:rPr>
          <w:rFonts w:ascii="Times New Roman CYR" w:hAnsi="Times New Roman CYR" w:cs="Times New Roman CYR"/>
          <w:sz w:val="24"/>
          <w:szCs w:val="24"/>
        </w:rPr>
        <w:t>артiстю) з вирахуванням накопиченої амортизацiї та накопичених збиткiв вiд зменшення корисностi. Будiвлi та споруди  пiсля первiсного визнання облiковуються за переоцiненою вартiстю (справедливою вартiстю).</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Первiсна вартiсть основних засобiв збi</w:t>
      </w:r>
      <w:r>
        <w:rPr>
          <w:rFonts w:ascii="Times New Roman CYR" w:hAnsi="Times New Roman CYR" w:cs="Times New Roman CYR"/>
          <w:sz w:val="24"/>
          <w:szCs w:val="24"/>
        </w:rPr>
        <w:t>льшується на суму витрат, пов'язаних з полiпшенням об'єкта (модернiзацiя, модифiкацiя, добудова, дообладнання, реконструкцiя тощо), у результатi чого збiльшуються майбутнi економiчнi вигоди, первiсно очiкуванi вiд використання цього об'єкту.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Ви</w:t>
      </w:r>
      <w:r>
        <w:rPr>
          <w:rFonts w:ascii="Times New Roman CYR" w:hAnsi="Times New Roman CYR" w:cs="Times New Roman CYR"/>
          <w:sz w:val="24"/>
          <w:szCs w:val="24"/>
        </w:rPr>
        <w:t>трати, що здiйснюються для пiдтримання об'єкта основних засобiв у придатному для використання станi (капiтальний та поточний ремонт), включаються до складу витрат звiтного перiоду i не впливають на його залишкову вартiсть. Компанiєю застосовується прямолiн</w:t>
      </w:r>
      <w:r>
        <w:rPr>
          <w:rFonts w:ascii="Times New Roman CYR" w:hAnsi="Times New Roman CYR" w:cs="Times New Roman CYR"/>
          <w:sz w:val="24"/>
          <w:szCs w:val="24"/>
        </w:rPr>
        <w:t>iйний метод нарахування амортизацiї на щомiсячнiй основi.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Строки корисного використання основних видiв основних засобiв встановленi наступнi: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 3.4</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Види об'єктiв</w:t>
      </w:r>
      <w:r>
        <w:rPr>
          <w:rFonts w:ascii="Times New Roman CYR" w:hAnsi="Times New Roman CYR" w:cs="Times New Roman CYR"/>
          <w:sz w:val="24"/>
          <w:szCs w:val="24"/>
        </w:rPr>
        <w:tab/>
        <w:t>Строк корисного використання (рокiв)</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Будинки та споруди</w:t>
      </w:r>
      <w:r>
        <w:rPr>
          <w:rFonts w:ascii="Times New Roman CYR" w:hAnsi="Times New Roman CYR" w:cs="Times New Roman CYR"/>
          <w:sz w:val="24"/>
          <w:szCs w:val="24"/>
        </w:rPr>
        <w:tab/>
        <w:t>20-50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Обладнання  охорони та с</w:t>
      </w:r>
      <w:r>
        <w:rPr>
          <w:rFonts w:ascii="Times New Roman CYR" w:hAnsi="Times New Roman CYR" w:cs="Times New Roman CYR"/>
          <w:sz w:val="24"/>
          <w:szCs w:val="24"/>
        </w:rPr>
        <w:t>игналiзацiї</w:t>
      </w:r>
      <w:r>
        <w:rPr>
          <w:rFonts w:ascii="Times New Roman CYR" w:hAnsi="Times New Roman CYR" w:cs="Times New Roman CYR"/>
          <w:sz w:val="24"/>
          <w:szCs w:val="24"/>
        </w:rPr>
        <w:tab/>
        <w:t>12</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Машини та обладнання</w:t>
      </w:r>
      <w:r>
        <w:rPr>
          <w:rFonts w:ascii="Times New Roman CYR" w:hAnsi="Times New Roman CYR" w:cs="Times New Roman CYR"/>
          <w:sz w:val="24"/>
          <w:szCs w:val="24"/>
        </w:rPr>
        <w:tab/>
        <w:t>5-7</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Автотранспорт</w:t>
      </w:r>
      <w:r>
        <w:rPr>
          <w:rFonts w:ascii="Times New Roman CYR" w:hAnsi="Times New Roman CYR" w:cs="Times New Roman CYR"/>
          <w:sz w:val="24"/>
          <w:szCs w:val="24"/>
        </w:rPr>
        <w:tab/>
        <w:t>5-7</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Iнструменти, прилади, iнвентар</w:t>
      </w:r>
      <w:r>
        <w:rPr>
          <w:rFonts w:ascii="Times New Roman CYR" w:hAnsi="Times New Roman CYR" w:cs="Times New Roman CYR"/>
          <w:sz w:val="24"/>
          <w:szCs w:val="24"/>
        </w:rPr>
        <w:tab/>
        <w:t>4</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w:t>
      </w:r>
      <w:r>
        <w:rPr>
          <w:rFonts w:ascii="Times New Roman CYR" w:hAnsi="Times New Roman CYR" w:cs="Times New Roman CYR"/>
          <w:sz w:val="24"/>
          <w:szCs w:val="24"/>
        </w:rPr>
        <w:tab/>
        <w:t>12</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Земля та незавершенi капiтальнi вкладення не амортизуються.</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Капiтальнi вкладення в орендованi примiщення використовуються протягом строку оренди примiщень.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Амортизацiя нового активу починається тодi, коли вiн стає  доступним для використання, коли його мiсце розташування i стан дозволяють здiйснювати його експлуат</w:t>
      </w:r>
      <w:r>
        <w:rPr>
          <w:rFonts w:ascii="Times New Roman CYR" w:hAnsi="Times New Roman CYR" w:cs="Times New Roman CYR"/>
          <w:sz w:val="24"/>
          <w:szCs w:val="24"/>
        </w:rPr>
        <w:t>ацiю вiдповiдно до намiрiв керiвництва.</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3.5.Нематерiальнi активи. Нематерiальнi активи оприбутковуються Компанiєю за первiсною вартiстю, яка складається з цiни придбання та iнших витрат, пов'язаних iз приведенням їх у стан придатний для використання, та в</w:t>
      </w:r>
      <w:r>
        <w:rPr>
          <w:rFonts w:ascii="Times New Roman CYR" w:hAnsi="Times New Roman CYR" w:cs="Times New Roman CYR"/>
          <w:sz w:val="24"/>
          <w:szCs w:val="24"/>
        </w:rPr>
        <w:t>iдображаються в фiнансової звiтностi за первiсною вартiстю за вирахування накопиченої амортизацiї та накопичених збиткiв вiд зменшення корисностi. Амортизацiя нематерiальних активiв проводиться за прямолiнiйним методом.</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Компанiєю встановленi наступнi стро</w:t>
      </w:r>
      <w:r>
        <w:rPr>
          <w:rFonts w:ascii="Times New Roman CYR" w:hAnsi="Times New Roman CYR" w:cs="Times New Roman CYR"/>
          <w:sz w:val="24"/>
          <w:szCs w:val="24"/>
        </w:rPr>
        <w:t>ки корисного використання нематерiальних активiв:</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 3.5</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Найменування групи</w:t>
      </w:r>
      <w:r>
        <w:rPr>
          <w:rFonts w:ascii="Times New Roman CYR" w:hAnsi="Times New Roman CYR" w:cs="Times New Roman CYR"/>
          <w:sz w:val="24"/>
          <w:szCs w:val="24"/>
        </w:rPr>
        <w:tab/>
        <w:t>Строк корисного використання (рокiв)</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Права на використання програм для комп'ютерної технiки, на рiзнi бази даних, iнше програмне забезпечення.</w:t>
      </w:r>
      <w:r>
        <w:rPr>
          <w:rFonts w:ascii="Times New Roman CYR" w:hAnsi="Times New Roman CYR" w:cs="Times New Roman CYR"/>
          <w:sz w:val="24"/>
          <w:szCs w:val="24"/>
        </w:rPr>
        <w:tab/>
        <w:t>4</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нематерiальнi активи</w:t>
      </w:r>
      <w:r>
        <w:rPr>
          <w:rFonts w:ascii="Times New Roman CYR" w:hAnsi="Times New Roman CYR" w:cs="Times New Roman CYR"/>
          <w:sz w:val="24"/>
          <w:szCs w:val="24"/>
        </w:rPr>
        <w:tab/>
        <w:t>4</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Лiцензiї на впровадження страхової дiяльностi</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Лiцензiї на впровадження страхової дiяльностi  є активами з невизначеним строком використання, тому їх облiк здiйснюється без нарахування амортизацiї.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3.6. Iнвестицiйна нерухомiсть. Одиницею облiку iнвестицiйної нерухомостi є земля чи будiвля або частина будiвлi, або земля i будiвля, що перебувають у розпорядженнi власника або лiзингоодержувача за договором про фiнансовий лiзинг (оренду) з метою отриманн</w:t>
      </w:r>
      <w:r>
        <w:rPr>
          <w:rFonts w:ascii="Times New Roman CYR" w:hAnsi="Times New Roman CYR" w:cs="Times New Roman CYR"/>
          <w:sz w:val="24"/>
          <w:szCs w:val="24"/>
        </w:rPr>
        <w:t xml:space="preserve">я орендних платежiв, доходiв вiд зростання капiталу або того чи iншого, а не для надання послуг або адмiнiстративних цiлей. До iнвестицiйної нерухомостi належать: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 земля, що утримується з метою отримання вигоди вiд зростання капiталу в довгостроковiй </w:t>
      </w:r>
      <w:r>
        <w:rPr>
          <w:rFonts w:ascii="Times New Roman CYR" w:hAnsi="Times New Roman CYR" w:cs="Times New Roman CYR"/>
          <w:sz w:val="24"/>
          <w:szCs w:val="24"/>
        </w:rPr>
        <w:t xml:space="preserve">перспективi, а не для реалiзацiї в короткостроковiй перспективi в процесi дiяльностi;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 земля, подальше використання якої на цей час не визначено;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будiвля, що перебуває у власностi компанiї або в розпорядженнi за договором про фiнансовий лiзинг (</w:t>
      </w:r>
      <w:r>
        <w:rPr>
          <w:rFonts w:ascii="Times New Roman CYR" w:hAnsi="Times New Roman CYR" w:cs="Times New Roman CYR"/>
          <w:sz w:val="24"/>
          <w:szCs w:val="24"/>
        </w:rPr>
        <w:t xml:space="preserve">оренду) та надається в лiзинг (оренду) за одним або кiлькома договорами про оперативний лiзинг (оренду);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 будiвля, що не зайнята на цей час та призначена для надання в лiзинг (оренду) за одним або кiлькома договорами про оперативний лiзинг (оренду).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Пiд час первiсного визнання iнвестицiйної нерухомостi Компанiя оцiнює її за первiсною вартiстю, яка включає цiну придбання цiєї нерухомостi та всi витрати, що безпосередньо пов'язанi з її придбанням. Пiсля первiсного визнання об'єкта iнвестицiйної нерухом</w:t>
      </w:r>
      <w:r>
        <w:rPr>
          <w:rFonts w:ascii="Times New Roman CYR" w:hAnsi="Times New Roman CYR" w:cs="Times New Roman CYR"/>
          <w:sz w:val="24"/>
          <w:szCs w:val="24"/>
        </w:rPr>
        <w:t>остi подальшу його оцiнку Компанiя здiйснює за  переоцiненою вартiстю, яка являє собою справедливу вартiсть на дату переоцiнки та визначається на основi ринкових даних за допомогою незалежних оцiнювачiв. Переоцiнка здiйснюється з достатньою регулярнiстю та</w:t>
      </w:r>
      <w:r>
        <w:rPr>
          <w:rFonts w:ascii="Times New Roman CYR" w:hAnsi="Times New Roman CYR" w:cs="Times New Roman CYR"/>
          <w:sz w:val="24"/>
          <w:szCs w:val="24"/>
        </w:rPr>
        <w:t>ким чином , щоб балансова вартiсть iнвестицiйної нерухомостi не вiдрiзнялась iстотно вiд вартостi, яка була б визначена з використанням справедливої вартостi на звiтну дату. Прибутки або збитки, якi виникають у результатi змiни справедливої вартостi iнвест</w:t>
      </w:r>
      <w:r>
        <w:rPr>
          <w:rFonts w:ascii="Times New Roman CYR" w:hAnsi="Times New Roman CYR" w:cs="Times New Roman CYR"/>
          <w:sz w:val="24"/>
          <w:szCs w:val="24"/>
        </w:rPr>
        <w:t>ицiйної нерухомостi, включаються до складу прибутку або збитку того перiоду, у якому вони виникають.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3.7. Оренда. Договiр в цiлому, або його окремi компоненти є договором оренди, якщо за цим договором передається право користування iдентифiкованого активу</w:t>
      </w:r>
      <w:r>
        <w:rPr>
          <w:rFonts w:ascii="Times New Roman CYR" w:hAnsi="Times New Roman CYR" w:cs="Times New Roman CYR"/>
          <w:sz w:val="24"/>
          <w:szCs w:val="24"/>
        </w:rPr>
        <w:t xml:space="preserve"> протягом певного перiоду в обмiн на вiдшкодування. У випадку, якщо вiдбувається змiна в умовах договору оренди,  то Компанiя проводить повторну оцiнку договору.  На дату початку оренди, Компанiя як орендар, визнає актив у формi права користування та зобов</w:t>
      </w:r>
      <w:r>
        <w:rPr>
          <w:rFonts w:ascii="Times New Roman CYR" w:hAnsi="Times New Roman CYR" w:cs="Times New Roman CYR"/>
          <w:sz w:val="24"/>
          <w:szCs w:val="24"/>
        </w:rPr>
        <w:t>'язання з оренди.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Товариство розглядає можливiсть визнати малоцiнними об'єкти оренди, справедлива вартiсть яких у новому станi становить вартiсть, яка менше  5% розмiру первiсної вартостi основних засобiв на звiтну дату. Короткостроковою є оренда до 12 м</w:t>
      </w:r>
      <w:r>
        <w:rPr>
          <w:rFonts w:ascii="Times New Roman CYR" w:hAnsi="Times New Roman CYR" w:cs="Times New Roman CYR"/>
          <w:sz w:val="24"/>
          <w:szCs w:val="24"/>
        </w:rPr>
        <w:t>iсяцiв. По договорам з такими активами в момент укладення договору оренди активи та зобов'язанням не визнаються. Витрати  вiдносяться на виробничi, адмiнiстративнi, збутовi та iншi витрати вiдповiдно до цiльового використання базових активiв Товариством по</w:t>
      </w:r>
      <w:r>
        <w:rPr>
          <w:rFonts w:ascii="Times New Roman CYR" w:hAnsi="Times New Roman CYR" w:cs="Times New Roman CYR"/>
          <w:sz w:val="24"/>
          <w:szCs w:val="24"/>
        </w:rPr>
        <w:t xml:space="preserve"> мiрi нарахування чергових платежiв до сплати.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3.8. Фiнансовi зобов'язання. Фiнансовi зобов'язання визнаються коли Товариство стає стороною контрактних умов, що стосуються фiнансових зобов'язань.   Процентнi витрати, що пов'язанi з фiнансовими зобов'язанн</w:t>
      </w:r>
      <w:r>
        <w:rPr>
          <w:rFonts w:ascii="Times New Roman CYR" w:hAnsi="Times New Roman CYR" w:cs="Times New Roman CYR"/>
          <w:sz w:val="24"/>
          <w:szCs w:val="24"/>
        </w:rPr>
        <w:t>ями вiдображаються в складi процентних витрат.</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3.9. Податок на прибуток. Податок на прибуток вiдображаються у фiнансовiй звiтностi вiдповiдно до законодавства, прийнятого або фактично прийнятого до кiнця звiтного перiоду. Витрати або доходи з податку на п</w:t>
      </w:r>
      <w:r>
        <w:rPr>
          <w:rFonts w:ascii="Times New Roman CYR" w:hAnsi="Times New Roman CYR" w:cs="Times New Roman CYR"/>
          <w:sz w:val="24"/>
          <w:szCs w:val="24"/>
        </w:rPr>
        <w:t>рибуток включають поточний та вiдстрочений податок та визнаються у складi прибуткiв або збиткiв за рiк, за винятком випадкiв, коли вони визнаються у складi iншого сукупного доходу або безпосередньо у складi власного капiталу, оскiльки вони  пов'язанi з уго</w:t>
      </w:r>
      <w:r>
        <w:rPr>
          <w:rFonts w:ascii="Times New Roman CYR" w:hAnsi="Times New Roman CYR" w:cs="Times New Roman CYR"/>
          <w:sz w:val="24"/>
          <w:szCs w:val="24"/>
        </w:rPr>
        <w:t xml:space="preserve">дами, якi також визнаються, у тому самому чи iншому перiодi, у складi iншого сукупного доходу або безпосередньо у складi власного капiталу.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Вiдстрочений податок на прибуток обчислюється з використанням методу балансових зобов'язань для перенесених податк</w:t>
      </w:r>
      <w:r>
        <w:rPr>
          <w:rFonts w:ascii="Times New Roman CYR" w:hAnsi="Times New Roman CYR" w:cs="Times New Roman CYR"/>
          <w:sz w:val="24"/>
          <w:szCs w:val="24"/>
        </w:rPr>
        <w:t>ових збиткiв та тимчасових рiзниць, що виникають мiж податковими базами активiв та зобов'язань та їх балансовою вартiстю для цiлей фiнансової звiтностi. Залишки вiдстрочених податкових активiв та зобов'язань оцiнюються за податковими ставками, затвердженим</w:t>
      </w:r>
      <w:r>
        <w:rPr>
          <w:rFonts w:ascii="Times New Roman CYR" w:hAnsi="Times New Roman CYR" w:cs="Times New Roman CYR"/>
          <w:sz w:val="24"/>
          <w:szCs w:val="24"/>
        </w:rPr>
        <w:t>и або фактично затвердженими наприкiнцi звiтного перiоду, якi повиннi застосуватися до перiоду, коли будуть перекласифiкованi тимчасовi рiзницi або коли будуть використанi перенесенi податковi збитки. Вiдстрочений податковий актив для тимчасових рiзниць, щ</w:t>
      </w:r>
      <w:r>
        <w:rPr>
          <w:rFonts w:ascii="Times New Roman CYR" w:hAnsi="Times New Roman CYR" w:cs="Times New Roman CYR"/>
          <w:sz w:val="24"/>
          <w:szCs w:val="24"/>
        </w:rPr>
        <w:t xml:space="preserve">о пiдлягають вирахуванню, та перенесених податкових збиткiв облiковується лише у разi, якщо є вiрогiднiсть того, що буде доступним майбутнiй оподатковуваний прибуток, за яким можуть бути реалiзованi вирахування.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Вiдстроченi податки в  Компанiя не нарахов</w:t>
      </w:r>
      <w:r>
        <w:rPr>
          <w:rFonts w:ascii="Times New Roman CYR" w:hAnsi="Times New Roman CYR" w:cs="Times New Roman CYR"/>
          <w:sz w:val="24"/>
          <w:szCs w:val="24"/>
        </w:rPr>
        <w:t>увала.</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Згiдно законодавства ставка податку на прибуток в 2023 роцi становила 18%, вiд страхової дiяльностi - 3%, 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3.10. Статутний капiтал та емiсiйний дохiд. Звичайнi акцiї за номiналом класифiкуються як власний капiтал. Будь-яка надмiрна сума справедливої вартостi винагороди, одержаної понад номiнальну вартiсть випущених акцiй, облiковується як емiсiйний дохiд у скла</w:t>
      </w:r>
      <w:r>
        <w:rPr>
          <w:rFonts w:ascii="Times New Roman CYR" w:hAnsi="Times New Roman CYR" w:cs="Times New Roman CYR"/>
          <w:sz w:val="24"/>
          <w:szCs w:val="24"/>
        </w:rPr>
        <w:t xml:space="preserve">дi власного капiталу.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3.11. Валюта вимiру та подання. Функцiональною валютою Компанiї є валюта основного економiчного середовища, в якому вона функцiонує. Функцiональною валютою та валютою представлення звiтностi є нацiональна валюта України - гривня (на</w:t>
      </w:r>
      <w:r>
        <w:rPr>
          <w:rFonts w:ascii="Times New Roman CYR" w:hAnsi="Times New Roman CYR" w:cs="Times New Roman CYR"/>
          <w:sz w:val="24"/>
          <w:szCs w:val="24"/>
        </w:rPr>
        <w:t>далi - "гривня" або "UAH"). Всi суми в звiтностi наведено в тисячах гривень.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3.12. Резерви. Компанiя формує i веде облiк таких технiчних резервiв за видами страхування:</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 Резерв незароблених премiй (резерви премiй), що включають частки вiд сум надходжен</w:t>
      </w:r>
      <w:r>
        <w:rPr>
          <w:rFonts w:ascii="Times New Roman CYR" w:hAnsi="Times New Roman CYR" w:cs="Times New Roman CYR"/>
          <w:sz w:val="24"/>
          <w:szCs w:val="24"/>
        </w:rPr>
        <w:t>ь страхових платежiв (страхових внескiв, страхових премiй), що вiдповiдають страховим ризикам, якi не минули на звiтну дату. Величина резервiв незароблених премiй на будь-яку звiтну дату обчислюється в такому порядку: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 страхуванням цивiльно-правової в</w:t>
      </w:r>
      <w:r>
        <w:rPr>
          <w:rFonts w:ascii="Times New Roman CYR" w:hAnsi="Times New Roman CYR" w:cs="Times New Roman CYR"/>
          <w:sz w:val="24"/>
          <w:szCs w:val="24"/>
        </w:rPr>
        <w:t>iдповiдальностi власникiв транспортних засобiв - методом 1/365</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за всiма видами страхування, окрiм вищезазначеного - методом 1/24.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 Величина резерву заявлених, але не виплачених збиткiв вiдповiдає сумi заявлених збиткiв у звiтному перiодi, збiльшенiй</w:t>
      </w:r>
      <w:r>
        <w:rPr>
          <w:rFonts w:ascii="Times New Roman CYR" w:hAnsi="Times New Roman CYR" w:cs="Times New Roman CYR"/>
          <w:sz w:val="24"/>
          <w:szCs w:val="24"/>
        </w:rPr>
        <w:t xml:space="preserve"> на суму не виплачених збиткiв на початок звiтного перiоду за попереднi перiоди, зменшенiй на суму виплачених збиткiв у звiтному перiодi плюс витрати на врегулювання збиткiв у розмiрi 3 вiдсоткiв вiд суми невиплачених збиткiв на кiнець звiтного перiоду.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 Аналiтичний облiк резервiв здiйснюється за  видами страхування.</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3.13. Перевiрка адекватностi страхових зобов'язань. Страхова компанiя перевiряє на кiнець кожного звiтного перiоду, чи є її визнанi страховi зобов'язання адекватними.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Пiд перевiркою адекв</w:t>
      </w:r>
      <w:r>
        <w:rPr>
          <w:rFonts w:ascii="Times New Roman CYR" w:hAnsi="Times New Roman CYR" w:cs="Times New Roman CYR"/>
          <w:sz w:val="24"/>
          <w:szCs w:val="24"/>
        </w:rPr>
        <w:t xml:space="preserve">атностi зобов'язань необхiдно розумiти оцiнку необхiдностi збiльшення балансової вартостi страхового зобов'язання  на основi аналiзу майбутнiх грошових потокiв.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ця оцiнка показує, що балансова вартiсть його страхових зобов'язань за вирахуванням вiдп</w:t>
      </w:r>
      <w:r>
        <w:rPr>
          <w:rFonts w:ascii="Times New Roman CYR" w:hAnsi="Times New Roman CYR" w:cs="Times New Roman CYR"/>
          <w:sz w:val="24"/>
          <w:szCs w:val="24"/>
        </w:rPr>
        <w:t>овiдних вiдстрочених аквiзицiйних витрат та вiдповiдних нематерiальних активiв, є неадекватною в контекстi розрахункових показникiв майбутнiх рухiв грошових коштiв, нестачу необхiдно повнiстю визнавати у звiтi про прибутки та збитки.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Страхова компанiя вик</w:t>
      </w:r>
      <w:r>
        <w:rPr>
          <w:rFonts w:ascii="Times New Roman CYR" w:hAnsi="Times New Roman CYR" w:cs="Times New Roman CYR"/>
          <w:sz w:val="24"/>
          <w:szCs w:val="24"/>
        </w:rPr>
        <w:t xml:space="preserve">лючає страхове зобов'язання iз звiтностi  тiльки, коли воно погашене, тобто коли вказанi в договорi зобов'язання виконано, або анульовано, або  термiн його дiї закiнчився.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3.14. Iнформацiя за операцiйними сегментами. Компонент Компанiї розглядається як о</w:t>
      </w:r>
      <w:r>
        <w:rPr>
          <w:rFonts w:ascii="Times New Roman CYR" w:hAnsi="Times New Roman CYR" w:cs="Times New Roman CYR"/>
          <w:sz w:val="24"/>
          <w:szCs w:val="24"/>
        </w:rPr>
        <w:t>перацiйний сегмент лише, якщо по цьому компоненту є окрема фiнансова iнформацiя, яка дозволяє керiвництву приймати рiшення вiдносно розподiлу ресурсiв.  З огляду на це,  облiковими сегментами  Компанiї  є   види страхових продуктiв. Доходи та певнi витрати</w:t>
      </w:r>
      <w:r>
        <w:rPr>
          <w:rFonts w:ascii="Times New Roman CYR" w:hAnsi="Times New Roman CYR" w:cs="Times New Roman CYR"/>
          <w:sz w:val="24"/>
          <w:szCs w:val="24"/>
        </w:rPr>
        <w:t xml:space="preserve"> сегментiв регулярно аналiзуються  керiвництвом та вiдповiдна iнформацiя надається регуляторному органу. В той же  час, слiд зазначити, що  iнформацiя про активи та зобов'язання в розрiзi сегментiв Компанiєю не розраховується, та не надається керiвному орг</w:t>
      </w:r>
      <w:r>
        <w:rPr>
          <w:rFonts w:ascii="Times New Roman CYR" w:hAnsi="Times New Roman CYR" w:cs="Times New Roman CYR"/>
          <w:sz w:val="24"/>
          <w:szCs w:val="24"/>
        </w:rPr>
        <w:t xml:space="preserve">ану, який вiдповiдає за прийняття рiшень. Зважаючи на вiдсутнiсть такої iнформацiї та неефективнiсть її отримання,   iнформацiя про активи та зобов'язання сегментiв в звiтностi не наводиться.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Класи активiв та зобов'язань, оцiнених за справедливою вартiст</w:t>
      </w:r>
      <w:r>
        <w:rPr>
          <w:rFonts w:ascii="Times New Roman CYR" w:hAnsi="Times New Roman CYR" w:cs="Times New Roman CYR"/>
          <w:sz w:val="24"/>
          <w:szCs w:val="24"/>
        </w:rPr>
        <w:t>ю</w:t>
      </w:r>
      <w:r>
        <w:rPr>
          <w:rFonts w:ascii="Times New Roman CYR" w:hAnsi="Times New Roman CYR" w:cs="Times New Roman CYR"/>
          <w:sz w:val="24"/>
          <w:szCs w:val="24"/>
        </w:rPr>
        <w:tab/>
        <w:t>Методики оцiнювання</w:t>
      </w:r>
      <w:r>
        <w:rPr>
          <w:rFonts w:ascii="Times New Roman CYR" w:hAnsi="Times New Roman CYR" w:cs="Times New Roman CYR"/>
          <w:sz w:val="24"/>
          <w:szCs w:val="24"/>
        </w:rPr>
        <w:tab/>
        <w:t>Метод оцiнки (ринковий, дохiдний, витратний)</w:t>
      </w:r>
      <w:r>
        <w:rPr>
          <w:rFonts w:ascii="Times New Roman CYR" w:hAnsi="Times New Roman CYR" w:cs="Times New Roman CYR"/>
          <w:sz w:val="24"/>
          <w:szCs w:val="24"/>
        </w:rPr>
        <w:tab/>
        <w:t>Вихiднi данi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та їх еквiваленти</w:t>
      </w:r>
      <w:r>
        <w:rPr>
          <w:rFonts w:ascii="Times New Roman CYR" w:hAnsi="Times New Roman CYR" w:cs="Times New Roman CYR"/>
          <w:sz w:val="24"/>
          <w:szCs w:val="24"/>
        </w:rPr>
        <w:tab/>
        <w:t>Первiсна та подальша оцiнка грошових коштiв та їх еквiвалентiв здiйснюється за справедливою вартiстю, яка дорiвнює їх номiнальнiй вартостi</w:t>
      </w:r>
      <w:r>
        <w:rPr>
          <w:rFonts w:ascii="Times New Roman CYR" w:hAnsi="Times New Roman CYR" w:cs="Times New Roman CYR"/>
          <w:sz w:val="24"/>
          <w:szCs w:val="24"/>
        </w:rPr>
        <w:tab/>
        <w:t>Ринковий</w:t>
      </w:r>
      <w:r>
        <w:rPr>
          <w:rFonts w:ascii="Times New Roman CYR" w:hAnsi="Times New Roman CYR" w:cs="Times New Roman CYR"/>
          <w:sz w:val="24"/>
          <w:szCs w:val="24"/>
        </w:rPr>
        <w:tab/>
        <w:t>Офiцiйнi курси НБУ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Депозити (крiм депозитiв до запитання)</w:t>
      </w:r>
      <w:r>
        <w:rPr>
          <w:rFonts w:ascii="Times New Roman CYR" w:hAnsi="Times New Roman CYR" w:cs="Times New Roman CYR"/>
          <w:sz w:val="24"/>
          <w:szCs w:val="24"/>
        </w:rPr>
        <w:tab/>
        <w:t>Первiсна оцiнка д</w:t>
      </w:r>
      <w:r>
        <w:rPr>
          <w:rFonts w:ascii="Times New Roman CYR" w:hAnsi="Times New Roman CYR" w:cs="Times New Roman CYR"/>
          <w:sz w:val="24"/>
          <w:szCs w:val="24"/>
        </w:rPr>
        <w:t>епозиту здiйснюється за його справедливою вартiстю, яка зазвичай дорiвнює його номiнальнiй вартостi. Подальша оцiнка депозитiв у нацiональнiй валютi здiйснюється за справедливою вартiстю очiкуваних грошових потокiв</w:t>
      </w:r>
      <w:r>
        <w:rPr>
          <w:rFonts w:ascii="Times New Roman CYR" w:hAnsi="Times New Roman CYR" w:cs="Times New Roman CYR"/>
          <w:sz w:val="24"/>
          <w:szCs w:val="24"/>
        </w:rPr>
        <w:tab/>
        <w:t>Дохiдний (дисконтування грошових потокiв)</w:t>
      </w:r>
      <w:r>
        <w:rPr>
          <w:rFonts w:ascii="Times New Roman CYR" w:hAnsi="Times New Roman CYR" w:cs="Times New Roman CYR"/>
          <w:sz w:val="24"/>
          <w:szCs w:val="24"/>
        </w:rPr>
        <w:tab/>
        <w:t>Ставки за депозитами, ефективнi ставки за депозитними договорами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Борговi цiннi папери</w:t>
      </w:r>
      <w:r>
        <w:rPr>
          <w:rFonts w:ascii="Times New Roman CYR" w:hAnsi="Times New Roman CYR" w:cs="Times New Roman CYR"/>
          <w:sz w:val="24"/>
          <w:szCs w:val="24"/>
        </w:rPr>
        <w:tab/>
        <w:t>Первiсна оцiнка боргових цiнних паперiв як фiнансових активiв здiйснюється за справедливою вартiстю, яка зазвичай дорiвнює цiнi операцiї, в ходi якої був отриманий акти</w:t>
      </w:r>
      <w:r>
        <w:rPr>
          <w:rFonts w:ascii="Times New Roman CYR" w:hAnsi="Times New Roman CYR" w:cs="Times New Roman CYR"/>
          <w:sz w:val="24"/>
          <w:szCs w:val="24"/>
        </w:rPr>
        <w:t>в. Подальша оцiнка боргових цiнних паперiв здiйснюється за справедливою вартiстю.</w:t>
      </w:r>
      <w:r>
        <w:rPr>
          <w:rFonts w:ascii="Times New Roman CYR" w:hAnsi="Times New Roman CYR" w:cs="Times New Roman CYR"/>
          <w:sz w:val="24"/>
          <w:szCs w:val="24"/>
        </w:rPr>
        <w:tab/>
        <w:t xml:space="preserve">Ринковий, дохiдний </w:t>
      </w:r>
      <w:r>
        <w:rPr>
          <w:rFonts w:ascii="Times New Roman CYR" w:hAnsi="Times New Roman CYR" w:cs="Times New Roman CYR"/>
          <w:sz w:val="24"/>
          <w:szCs w:val="24"/>
        </w:rPr>
        <w:tab/>
        <w:t>Офiцiйнi бiржовi курси органiзаторiв торгiв на дату оцiнки, котирування аналогiчних боргових цiнних паперiв, дисконтованi потоки грошових коштiв</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Iнструме</w:t>
      </w:r>
      <w:r>
        <w:rPr>
          <w:rFonts w:ascii="Times New Roman CYR" w:hAnsi="Times New Roman CYR" w:cs="Times New Roman CYR"/>
          <w:sz w:val="24"/>
          <w:szCs w:val="24"/>
        </w:rPr>
        <w:t>нти капiталу</w:t>
      </w:r>
      <w:r>
        <w:rPr>
          <w:rFonts w:ascii="Times New Roman CYR" w:hAnsi="Times New Roman CYR" w:cs="Times New Roman CYR"/>
          <w:sz w:val="24"/>
          <w:szCs w:val="24"/>
        </w:rPr>
        <w:tab/>
        <w:t>Первiсна оцiнка iнструментiв капiталу здiйснюється за їх справедливою вартiстю, яка зазвичай дорiвнює цiнi операцiї, в ходi якої був отриманий актив. Подальша оцiнка iнструментiв капiталу здiйснюється за справедливою вартiстю на дату оцiнки.</w:t>
      </w:r>
      <w:r>
        <w:rPr>
          <w:rFonts w:ascii="Times New Roman CYR" w:hAnsi="Times New Roman CYR" w:cs="Times New Roman CYR"/>
          <w:sz w:val="24"/>
          <w:szCs w:val="24"/>
        </w:rPr>
        <w:tab/>
        <w:t>Р</w:t>
      </w:r>
      <w:r>
        <w:rPr>
          <w:rFonts w:ascii="Times New Roman CYR" w:hAnsi="Times New Roman CYR" w:cs="Times New Roman CYR"/>
          <w:sz w:val="24"/>
          <w:szCs w:val="24"/>
        </w:rPr>
        <w:t>инковий, дохiдний</w:t>
      </w:r>
      <w:r>
        <w:rPr>
          <w:rFonts w:ascii="Times New Roman CYR" w:hAnsi="Times New Roman CYR" w:cs="Times New Roman CYR"/>
          <w:sz w:val="24"/>
          <w:szCs w:val="24"/>
        </w:rPr>
        <w:tab/>
        <w:t>Офiцiйнi бiржовi курси органiзаторiв торгiв на дату оцiнки, за вiдсутностi визначеного бiржового курсу на дату оцiнки, використовується остання балансова вартiсть, цiни закриття бiржового торгового дня, iнформацiя з позабiржового ринку.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Дебiторська заборгованiсть</w:t>
      </w:r>
      <w:r>
        <w:rPr>
          <w:rFonts w:ascii="Times New Roman CYR" w:hAnsi="Times New Roman CYR" w:cs="Times New Roman CYR"/>
          <w:sz w:val="24"/>
          <w:szCs w:val="24"/>
        </w:rPr>
        <w:tab/>
        <w:t>Первiсна та подальша оцiнка дебiторської заборгованостi здiйснюється за справедливою вартiстю, яка дорiвнює вартостi погашення, тобто сумi очiкуваних контрактних грошових потокiв на дату оцiнки.</w:t>
      </w:r>
      <w:r>
        <w:rPr>
          <w:rFonts w:ascii="Times New Roman CYR" w:hAnsi="Times New Roman CYR" w:cs="Times New Roman CYR"/>
          <w:sz w:val="24"/>
          <w:szCs w:val="24"/>
        </w:rPr>
        <w:tab/>
        <w:t>Дохiдний</w:t>
      </w:r>
      <w:r>
        <w:rPr>
          <w:rFonts w:ascii="Times New Roman CYR" w:hAnsi="Times New Roman CYR" w:cs="Times New Roman CYR"/>
          <w:sz w:val="24"/>
          <w:szCs w:val="24"/>
        </w:rPr>
        <w:tab/>
        <w:t>Контрактнi умови, ймовiрн</w:t>
      </w:r>
      <w:r>
        <w:rPr>
          <w:rFonts w:ascii="Times New Roman CYR" w:hAnsi="Times New Roman CYR" w:cs="Times New Roman CYR"/>
          <w:sz w:val="24"/>
          <w:szCs w:val="24"/>
        </w:rPr>
        <w:t>iсть погашення, очiкуванi вхiднi грошовi потоки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Iнвестицiйна нерухомiсть </w:t>
      </w:r>
      <w:r>
        <w:rPr>
          <w:rFonts w:ascii="Times New Roman CYR" w:hAnsi="Times New Roman CYR" w:cs="Times New Roman CYR"/>
          <w:sz w:val="24"/>
          <w:szCs w:val="24"/>
        </w:rPr>
        <w:tab/>
        <w:t>Первiсна оцiнка iнвестицiйної нерухомостi здiйснюється за собiвартiстю. Подальша оцiнка iнвестицiйної нерухомостi здiйснюється за справедливою вартiстю на дату оцiнки.</w:t>
      </w:r>
      <w:r>
        <w:rPr>
          <w:rFonts w:ascii="Times New Roman CYR" w:hAnsi="Times New Roman CYR" w:cs="Times New Roman CYR"/>
          <w:sz w:val="24"/>
          <w:szCs w:val="24"/>
        </w:rPr>
        <w:tab/>
        <w:t>Ринковий, дох</w:t>
      </w:r>
      <w:r>
        <w:rPr>
          <w:rFonts w:ascii="Times New Roman CYR" w:hAnsi="Times New Roman CYR" w:cs="Times New Roman CYR"/>
          <w:sz w:val="24"/>
          <w:szCs w:val="24"/>
        </w:rPr>
        <w:t>iдний, витратний</w:t>
      </w:r>
      <w:r>
        <w:rPr>
          <w:rFonts w:ascii="Times New Roman CYR" w:hAnsi="Times New Roman CYR" w:cs="Times New Roman CYR"/>
          <w:sz w:val="24"/>
          <w:szCs w:val="24"/>
        </w:rPr>
        <w:tab/>
        <w:t>Цiни на ринку нерухомостi; данi оцiнки професiйних оцiнювачiв</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нерухомiсть, земельнi дiлянки)</w:t>
      </w:r>
      <w:r>
        <w:rPr>
          <w:rFonts w:ascii="Times New Roman CYR" w:hAnsi="Times New Roman CYR" w:cs="Times New Roman CYR"/>
          <w:sz w:val="24"/>
          <w:szCs w:val="24"/>
        </w:rPr>
        <w:tab/>
        <w:t>Первiсна оцiнка основних засобiв здiйснюється за собiвартiстю. Подальша оцiнка основних засобiв (нерухомiсть, земельнi дiлянки)</w:t>
      </w:r>
      <w:r>
        <w:rPr>
          <w:rFonts w:ascii="Times New Roman CYR" w:hAnsi="Times New Roman CYR" w:cs="Times New Roman CYR"/>
          <w:sz w:val="24"/>
          <w:szCs w:val="24"/>
        </w:rPr>
        <w:t xml:space="preserve"> здiйснюється за справедливою вартiстю на дату оцiнки.</w:t>
      </w:r>
      <w:r>
        <w:rPr>
          <w:rFonts w:ascii="Times New Roman CYR" w:hAnsi="Times New Roman CYR" w:cs="Times New Roman CYR"/>
          <w:sz w:val="24"/>
          <w:szCs w:val="24"/>
        </w:rPr>
        <w:tab/>
        <w:t>Ринковий, дохiдний, витратний</w:t>
      </w:r>
      <w:r>
        <w:rPr>
          <w:rFonts w:ascii="Times New Roman CYR" w:hAnsi="Times New Roman CYR" w:cs="Times New Roman CYR"/>
          <w:sz w:val="24"/>
          <w:szCs w:val="24"/>
        </w:rPr>
        <w:tab/>
        <w:t>Цiни на ринку нерухомостi; данi оцiнки професiйних оцiнювачiв</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Поточнi зобов'язання</w:t>
      </w:r>
      <w:r>
        <w:rPr>
          <w:rFonts w:ascii="Times New Roman CYR" w:hAnsi="Times New Roman CYR" w:cs="Times New Roman CYR"/>
          <w:sz w:val="24"/>
          <w:szCs w:val="24"/>
        </w:rPr>
        <w:tab/>
        <w:t>Первiсна та подальша оцiнка поточних зобов'язань здiйснюється за вартiстю погашення</w:t>
      </w:r>
      <w:r>
        <w:rPr>
          <w:rFonts w:ascii="Times New Roman CYR" w:hAnsi="Times New Roman CYR" w:cs="Times New Roman CYR"/>
          <w:sz w:val="24"/>
          <w:szCs w:val="24"/>
        </w:rPr>
        <w:tab/>
        <w:t>Вит</w:t>
      </w:r>
      <w:r>
        <w:rPr>
          <w:rFonts w:ascii="Times New Roman CYR" w:hAnsi="Times New Roman CYR" w:cs="Times New Roman CYR"/>
          <w:sz w:val="24"/>
          <w:szCs w:val="24"/>
        </w:rPr>
        <w:t>ратний</w:t>
      </w:r>
      <w:r>
        <w:rPr>
          <w:rFonts w:ascii="Times New Roman CYR" w:hAnsi="Times New Roman CYR" w:cs="Times New Roman CYR"/>
          <w:sz w:val="24"/>
          <w:szCs w:val="24"/>
        </w:rPr>
        <w:tab/>
        <w:t>Контрактнi умови, ймовiрнiсть погашення, очiкуванi вихiднi грошовi потоки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3.15. Суттєвiсть. Суттєвiсть - пропуск або викривлення статей є суттєвим, якщо вони можуть (окремо чи в сукупностi) впливати на економiчнi рiшення, якi приймають користувачi </w:t>
      </w:r>
      <w:r>
        <w:rPr>
          <w:rFonts w:ascii="Times New Roman CYR" w:hAnsi="Times New Roman CYR" w:cs="Times New Roman CYR"/>
          <w:sz w:val="24"/>
          <w:szCs w:val="24"/>
        </w:rPr>
        <w:t xml:space="preserve">на основi фiнансової звiтностi. Суттєвiсть залежить вiд розмiру чи характеру пропуску чи викривлення, що оцiнюється за конкретних обставин. Визначальним може бути як розмiр або характер статтi, так i поєднання статей.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4. Ефект змiн в облiковiй полiтицi, </w:t>
      </w:r>
      <w:r>
        <w:rPr>
          <w:rFonts w:ascii="Times New Roman CYR" w:hAnsi="Times New Roman CYR" w:cs="Times New Roman CYR"/>
          <w:sz w:val="24"/>
          <w:szCs w:val="24"/>
        </w:rPr>
        <w:t xml:space="preserve">облiкових оцiнках та виправлення суттєвих помилок.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 звiтностi за 1 пiврiччя  2023 рiк . виправлення  суттєвих помилок не здiйснювалось. Облiкова полiтика протягом року не змiнювалася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Розкриття iнформацiї щодо використання справедливої вартостi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5.1.</w:t>
      </w:r>
      <w:r>
        <w:rPr>
          <w:rFonts w:ascii="Times New Roman CYR" w:hAnsi="Times New Roman CYR" w:cs="Times New Roman CYR"/>
          <w:sz w:val="24"/>
          <w:szCs w:val="24"/>
        </w:rPr>
        <w:t xml:space="preserve"> Методики оцiнювання та вхiднi данi, використанi для складання оцiнок за справедливою вартiстю. Товариство здiйснює виключно безперервнi оцiнки справедливої вартостi активiв та зобов'язань, тобто такi оцiнки, якi вимагаються МСБО 39 та МСФЗ 13 у звiтi про </w:t>
      </w:r>
      <w:r>
        <w:rPr>
          <w:rFonts w:ascii="Times New Roman CYR" w:hAnsi="Times New Roman CYR" w:cs="Times New Roman CYR"/>
          <w:sz w:val="24"/>
          <w:szCs w:val="24"/>
        </w:rPr>
        <w:t>фiнансовий стан на кiнець кожного звiтного перiоду.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5.2. Рiвень iєрархiї справедливої вартостi, до якого належать оцiнки справедливої вартостi.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Таб.5.2</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Класи активiв та зобов'язань, оцiнених за справедливою вартiстю</w:t>
      </w:r>
      <w:r>
        <w:rPr>
          <w:rFonts w:ascii="Times New Roman CYR" w:hAnsi="Times New Roman CYR" w:cs="Times New Roman CYR"/>
          <w:sz w:val="24"/>
          <w:szCs w:val="24"/>
        </w:rPr>
        <w:tab/>
        <w:t>1 рiвень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(тi, що мають котирування, та спостережуванi)</w:t>
      </w:r>
      <w:r>
        <w:rPr>
          <w:rFonts w:ascii="Times New Roman CYR" w:hAnsi="Times New Roman CYR" w:cs="Times New Roman CYR"/>
          <w:sz w:val="24"/>
          <w:szCs w:val="24"/>
        </w:rPr>
        <w:tab/>
        <w:t>2 рiвень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(тi, що не мають котирувань, але спостережуванi)</w:t>
      </w:r>
      <w:r>
        <w:rPr>
          <w:rFonts w:ascii="Times New Roman CYR" w:hAnsi="Times New Roman CYR" w:cs="Times New Roman CYR"/>
          <w:sz w:val="24"/>
          <w:szCs w:val="24"/>
        </w:rPr>
        <w:tab/>
        <w:t>3 рiвень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(тi, що не мають котирувань i не є спостережу-ваними)</w:t>
      </w:r>
      <w:r>
        <w:rPr>
          <w:rFonts w:ascii="Times New Roman CYR" w:hAnsi="Times New Roman CYR" w:cs="Times New Roman CYR"/>
          <w:sz w:val="24"/>
          <w:szCs w:val="24"/>
        </w:rPr>
        <w:tab/>
        <w:t>Усього</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2022</w:t>
      </w:r>
      <w:r>
        <w:rPr>
          <w:rFonts w:ascii="Times New Roman CYR" w:hAnsi="Times New Roman CYR" w:cs="Times New Roman CYR"/>
          <w:sz w:val="24"/>
          <w:szCs w:val="24"/>
        </w:rPr>
        <w:tab/>
        <w:t>2023</w:t>
      </w:r>
      <w:r>
        <w:rPr>
          <w:rFonts w:ascii="Times New Roman CYR" w:hAnsi="Times New Roman CYR" w:cs="Times New Roman CYR"/>
          <w:sz w:val="24"/>
          <w:szCs w:val="24"/>
        </w:rPr>
        <w:tab/>
        <w:t>2022</w:t>
      </w:r>
      <w:r>
        <w:rPr>
          <w:rFonts w:ascii="Times New Roman CYR" w:hAnsi="Times New Roman CYR" w:cs="Times New Roman CYR"/>
          <w:sz w:val="24"/>
          <w:szCs w:val="24"/>
        </w:rPr>
        <w:tab/>
        <w:t>2023</w:t>
      </w:r>
      <w:r>
        <w:rPr>
          <w:rFonts w:ascii="Times New Roman CYR" w:hAnsi="Times New Roman CYR" w:cs="Times New Roman CYR"/>
          <w:sz w:val="24"/>
          <w:szCs w:val="24"/>
        </w:rPr>
        <w:tab/>
        <w:t>2022</w:t>
      </w:r>
      <w:r>
        <w:rPr>
          <w:rFonts w:ascii="Times New Roman CYR" w:hAnsi="Times New Roman CYR" w:cs="Times New Roman CYR"/>
          <w:sz w:val="24"/>
          <w:szCs w:val="24"/>
        </w:rPr>
        <w:tab/>
        <w:t>2023</w:t>
      </w:r>
      <w:r>
        <w:rPr>
          <w:rFonts w:ascii="Times New Roman CYR" w:hAnsi="Times New Roman CYR" w:cs="Times New Roman CYR"/>
          <w:sz w:val="24"/>
          <w:szCs w:val="24"/>
        </w:rPr>
        <w:tab/>
        <w:t>2022</w:t>
      </w:r>
      <w:r>
        <w:rPr>
          <w:rFonts w:ascii="Times New Roman CYR" w:hAnsi="Times New Roman CYR" w:cs="Times New Roman CYR"/>
          <w:sz w:val="24"/>
          <w:szCs w:val="24"/>
        </w:rPr>
        <w:tab/>
        <w:t>2021</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Дата оцiнки</w:t>
      </w:r>
      <w:r>
        <w:rPr>
          <w:rFonts w:ascii="Times New Roman CYR" w:hAnsi="Times New Roman CYR" w:cs="Times New Roman CYR"/>
          <w:sz w:val="24"/>
          <w:szCs w:val="24"/>
        </w:rPr>
        <w:tab/>
        <w:t>31.12.22</w:t>
      </w:r>
      <w:r>
        <w:rPr>
          <w:rFonts w:ascii="Times New Roman CYR" w:hAnsi="Times New Roman CYR" w:cs="Times New Roman CYR"/>
          <w:sz w:val="24"/>
          <w:szCs w:val="24"/>
        </w:rPr>
        <w:tab/>
        <w:t>30.06.23</w:t>
      </w:r>
      <w:r>
        <w:rPr>
          <w:rFonts w:ascii="Times New Roman CYR" w:hAnsi="Times New Roman CYR" w:cs="Times New Roman CYR"/>
          <w:sz w:val="24"/>
          <w:szCs w:val="24"/>
        </w:rPr>
        <w:tab/>
        <w:t>31.12.2</w:t>
      </w:r>
      <w:r>
        <w:rPr>
          <w:rFonts w:ascii="Times New Roman CYR" w:hAnsi="Times New Roman CYR" w:cs="Times New Roman CYR"/>
          <w:sz w:val="24"/>
          <w:szCs w:val="24"/>
        </w:rPr>
        <w:t>2</w:t>
      </w:r>
      <w:r>
        <w:rPr>
          <w:rFonts w:ascii="Times New Roman CYR" w:hAnsi="Times New Roman CYR" w:cs="Times New Roman CYR"/>
          <w:sz w:val="24"/>
          <w:szCs w:val="24"/>
        </w:rPr>
        <w:tab/>
        <w:t>30.06.23</w:t>
      </w:r>
      <w:r>
        <w:rPr>
          <w:rFonts w:ascii="Times New Roman CYR" w:hAnsi="Times New Roman CYR" w:cs="Times New Roman CYR"/>
          <w:sz w:val="24"/>
          <w:szCs w:val="24"/>
        </w:rPr>
        <w:tab/>
        <w:t>31.12.22</w:t>
      </w:r>
      <w:r>
        <w:rPr>
          <w:rFonts w:ascii="Times New Roman CYR" w:hAnsi="Times New Roman CYR" w:cs="Times New Roman CYR"/>
          <w:sz w:val="24"/>
          <w:szCs w:val="24"/>
        </w:rPr>
        <w:tab/>
        <w:t>30.06.23</w:t>
      </w:r>
      <w:r>
        <w:rPr>
          <w:rFonts w:ascii="Times New Roman CYR" w:hAnsi="Times New Roman CYR" w:cs="Times New Roman CYR"/>
          <w:sz w:val="24"/>
          <w:szCs w:val="24"/>
        </w:rPr>
        <w:tab/>
        <w:t>31.12.22</w:t>
      </w:r>
      <w:r>
        <w:rPr>
          <w:rFonts w:ascii="Times New Roman CYR" w:hAnsi="Times New Roman CYR" w:cs="Times New Roman CYR"/>
          <w:sz w:val="24"/>
          <w:szCs w:val="24"/>
        </w:rPr>
        <w:tab/>
        <w:t>30.06.23</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Земельнi дiлянки у складi iнвестицiйна нерухомiсть</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25 490,0</w:t>
      </w:r>
      <w:r>
        <w:rPr>
          <w:rFonts w:ascii="Times New Roman CYR" w:hAnsi="Times New Roman CYR" w:cs="Times New Roman CYR"/>
          <w:sz w:val="24"/>
          <w:szCs w:val="24"/>
        </w:rPr>
        <w:tab/>
        <w:t>25 490,0</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25 490,0</w:t>
      </w:r>
      <w:r>
        <w:rPr>
          <w:rFonts w:ascii="Times New Roman CYR" w:hAnsi="Times New Roman CYR" w:cs="Times New Roman CYR"/>
          <w:sz w:val="24"/>
          <w:szCs w:val="24"/>
        </w:rPr>
        <w:tab/>
        <w:t>25 490,0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Нерухоме майно у складi iнвестицiйна нерухомiсть</w:t>
      </w:r>
      <w:r>
        <w:rPr>
          <w:rFonts w:ascii="Times New Roman CYR" w:hAnsi="Times New Roman CYR" w:cs="Times New Roman CYR"/>
          <w:sz w:val="24"/>
          <w:szCs w:val="24"/>
        </w:rPr>
        <w:tab/>
        <w:t>6 070,00</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6 070,00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6 070,00</w:t>
      </w:r>
      <w:r>
        <w:rPr>
          <w:rFonts w:ascii="Times New Roman CYR" w:hAnsi="Times New Roman CYR" w:cs="Times New Roman CYR"/>
          <w:sz w:val="24"/>
          <w:szCs w:val="24"/>
        </w:rPr>
        <w:tab/>
        <w:t>6 070,00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Земельнi дiлян</w:t>
      </w:r>
      <w:r>
        <w:rPr>
          <w:rFonts w:ascii="Times New Roman CYR" w:hAnsi="Times New Roman CYR" w:cs="Times New Roman CYR"/>
          <w:sz w:val="24"/>
          <w:szCs w:val="24"/>
        </w:rPr>
        <w:t>ки у складi основних засобiв</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Нерухоме майно у складi основних засобiв</w:t>
      </w:r>
      <w:r>
        <w:rPr>
          <w:rFonts w:ascii="Times New Roman CYR" w:hAnsi="Times New Roman CYR" w:cs="Times New Roman CYR"/>
          <w:sz w:val="24"/>
          <w:szCs w:val="24"/>
        </w:rPr>
        <w:tab/>
        <w:t>-</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 xml:space="preserve">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Iнвестицiї доступнi для продажу</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Iнвестицiї за справедливою вартiстю</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5.3. Iншi розкриття, що вимагаються МСФЗ 13 "Оцiнка  справедливої  вартостi".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Справедлива вартiсть фiнансових iнструментiв в порiвняннi з їх балансовою вартiстю</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Таб.5.3. (тис. 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Балансова вартiсть</w:t>
      </w:r>
      <w:r>
        <w:rPr>
          <w:rFonts w:ascii="Times New Roman CYR" w:hAnsi="Times New Roman CYR" w:cs="Times New Roman CYR"/>
          <w:sz w:val="24"/>
          <w:szCs w:val="24"/>
        </w:rPr>
        <w:tab/>
        <w:t>Справедлива вартiсть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2022</w:t>
      </w:r>
      <w:r>
        <w:rPr>
          <w:rFonts w:ascii="Times New Roman CYR" w:hAnsi="Times New Roman CYR" w:cs="Times New Roman CYR"/>
          <w:sz w:val="24"/>
          <w:szCs w:val="24"/>
        </w:rPr>
        <w:tab/>
        <w:t>2023</w:t>
      </w:r>
      <w:r>
        <w:rPr>
          <w:rFonts w:ascii="Times New Roman CYR" w:hAnsi="Times New Roman CYR" w:cs="Times New Roman CYR"/>
          <w:sz w:val="24"/>
          <w:szCs w:val="24"/>
        </w:rPr>
        <w:tab/>
        <w:t>2022</w:t>
      </w:r>
      <w:r>
        <w:rPr>
          <w:rFonts w:ascii="Times New Roman CYR" w:hAnsi="Times New Roman CYR" w:cs="Times New Roman CYR"/>
          <w:sz w:val="24"/>
          <w:szCs w:val="24"/>
        </w:rPr>
        <w:tab/>
        <w:t>2023</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r>
        <w:rPr>
          <w:rFonts w:ascii="Times New Roman CYR" w:hAnsi="Times New Roman CYR" w:cs="Times New Roman CYR"/>
          <w:sz w:val="24"/>
          <w:szCs w:val="24"/>
        </w:rPr>
        <w:tab/>
        <w:t>5</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Фiнансовi активи</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Iнвестицiї доступнi для продажу</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Iнвестицiї доступнi за справедливою вартiстю</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Iнша поточна дебiторська заборгованiсть</w:t>
      </w:r>
      <w:r>
        <w:rPr>
          <w:rFonts w:ascii="Times New Roman CYR" w:hAnsi="Times New Roman CYR" w:cs="Times New Roman CYR"/>
          <w:sz w:val="24"/>
          <w:szCs w:val="24"/>
        </w:rPr>
        <w:tab/>
        <w:t>5634,0</w:t>
      </w:r>
      <w:r>
        <w:rPr>
          <w:rFonts w:ascii="Times New Roman CYR" w:hAnsi="Times New Roman CYR" w:cs="Times New Roman CYR"/>
          <w:sz w:val="24"/>
          <w:szCs w:val="24"/>
        </w:rPr>
        <w:tab/>
        <w:t>4541,0</w:t>
      </w:r>
      <w:r>
        <w:rPr>
          <w:rFonts w:ascii="Times New Roman CYR" w:hAnsi="Times New Roman CYR" w:cs="Times New Roman CYR"/>
          <w:sz w:val="24"/>
          <w:szCs w:val="24"/>
        </w:rPr>
        <w:tab/>
        <w:t>5634,0</w:t>
      </w:r>
      <w:r>
        <w:rPr>
          <w:rFonts w:ascii="Times New Roman CYR" w:hAnsi="Times New Roman CYR" w:cs="Times New Roman CYR"/>
          <w:sz w:val="24"/>
          <w:szCs w:val="24"/>
        </w:rPr>
        <w:tab/>
        <w:t>4541,0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Грошовi кошти та їх еквiваленти</w:t>
      </w:r>
      <w:r>
        <w:rPr>
          <w:rFonts w:ascii="Times New Roman CYR" w:hAnsi="Times New Roman CYR" w:cs="Times New Roman CYR"/>
          <w:sz w:val="24"/>
          <w:szCs w:val="24"/>
        </w:rPr>
        <w:tab/>
        <w:t>6 943,0</w:t>
      </w:r>
      <w:r>
        <w:rPr>
          <w:rFonts w:ascii="Times New Roman CYR" w:hAnsi="Times New Roman CYR" w:cs="Times New Roman CYR"/>
          <w:sz w:val="24"/>
          <w:szCs w:val="24"/>
        </w:rPr>
        <w:tab/>
        <w:t>8089,0</w:t>
      </w:r>
      <w:r>
        <w:rPr>
          <w:rFonts w:ascii="Times New Roman CYR" w:hAnsi="Times New Roman CYR" w:cs="Times New Roman CYR"/>
          <w:sz w:val="24"/>
          <w:szCs w:val="24"/>
        </w:rPr>
        <w:tab/>
        <w:t>6 943,0</w:t>
      </w:r>
      <w:r>
        <w:rPr>
          <w:rFonts w:ascii="Times New Roman CYR" w:hAnsi="Times New Roman CYR" w:cs="Times New Roman CYR"/>
          <w:sz w:val="24"/>
          <w:szCs w:val="24"/>
        </w:rPr>
        <w:tab/>
        <w:t>8089,0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Торгiвельна кредиторська заборгованiсть</w:t>
      </w:r>
      <w:r>
        <w:rPr>
          <w:rFonts w:ascii="Times New Roman CYR" w:hAnsi="Times New Roman CYR" w:cs="Times New Roman CYR"/>
          <w:sz w:val="24"/>
          <w:szCs w:val="24"/>
        </w:rPr>
        <w:tab/>
        <w:t>758,0</w:t>
      </w:r>
      <w:r>
        <w:rPr>
          <w:rFonts w:ascii="Times New Roman CYR" w:hAnsi="Times New Roman CYR" w:cs="Times New Roman CYR"/>
          <w:sz w:val="24"/>
          <w:szCs w:val="24"/>
        </w:rPr>
        <w:tab/>
        <w:t>1 045,0</w:t>
      </w:r>
      <w:r>
        <w:rPr>
          <w:rFonts w:ascii="Times New Roman CYR" w:hAnsi="Times New Roman CYR" w:cs="Times New Roman CYR"/>
          <w:sz w:val="24"/>
          <w:szCs w:val="24"/>
        </w:rPr>
        <w:tab/>
        <w:t>758,0</w:t>
      </w:r>
      <w:r>
        <w:rPr>
          <w:rFonts w:ascii="Times New Roman CYR" w:hAnsi="Times New Roman CYR" w:cs="Times New Roman CYR"/>
          <w:sz w:val="24"/>
          <w:szCs w:val="24"/>
        </w:rPr>
        <w:tab/>
        <w:t>1 045,0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Товариства вважає, що наведенi розкриття щодо застосування справедливої вартостi є достатнiми, i не вважає, що за межами фiнансової звiтностi залишилась будь-яка суттєва iнфо</w:t>
      </w:r>
      <w:r>
        <w:rPr>
          <w:rFonts w:ascii="Times New Roman CYR" w:hAnsi="Times New Roman CYR" w:cs="Times New Roman CYR"/>
          <w:sz w:val="24"/>
          <w:szCs w:val="24"/>
        </w:rPr>
        <w:t>рмацiя, щодо застосування справедливої вартостi, яка може бути корисною для користувачiв фiнансової звiтностi. Додаткову iнформацiю, щодо змiн справедливої вартостi фiнансових активiв в зв'язку з врахуванням ризикiв наведено у прим. 6.15.</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Розкриття iнф</w:t>
      </w:r>
      <w:r>
        <w:rPr>
          <w:rFonts w:ascii="Times New Roman CYR" w:hAnsi="Times New Roman CYR" w:cs="Times New Roman CYR"/>
          <w:sz w:val="24"/>
          <w:szCs w:val="24"/>
        </w:rPr>
        <w:t>ормацiї, що пiдтверджує статтi поданi у фiнансових звiтах.</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Основнi засоби та нематерiальнi активи                                 Таб.6.1 (тис. 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Земельнi дiлянки</w:t>
      </w:r>
      <w:r>
        <w:rPr>
          <w:rFonts w:ascii="Times New Roman CYR" w:hAnsi="Times New Roman CYR" w:cs="Times New Roman CYR"/>
          <w:sz w:val="24"/>
          <w:szCs w:val="24"/>
        </w:rPr>
        <w:tab/>
        <w:t>Будiвлi, споруди та передавальнi пристрої</w:t>
      </w:r>
      <w:r>
        <w:rPr>
          <w:rFonts w:ascii="Times New Roman CYR" w:hAnsi="Times New Roman CYR" w:cs="Times New Roman CYR"/>
          <w:sz w:val="24"/>
          <w:szCs w:val="24"/>
        </w:rPr>
        <w:tab/>
        <w:t>Маши</w:t>
      </w:r>
      <w:r>
        <w:rPr>
          <w:rFonts w:ascii="Times New Roman CYR" w:hAnsi="Times New Roman CYR" w:cs="Times New Roman CYR"/>
          <w:sz w:val="24"/>
          <w:szCs w:val="24"/>
        </w:rPr>
        <w:t>ни та обладнання</w:t>
      </w:r>
      <w:r>
        <w:rPr>
          <w:rFonts w:ascii="Times New Roman CYR" w:hAnsi="Times New Roman CYR" w:cs="Times New Roman CYR"/>
          <w:sz w:val="24"/>
          <w:szCs w:val="24"/>
        </w:rPr>
        <w:tab/>
        <w:t>Транспортнi засоби</w:t>
      </w:r>
      <w:r>
        <w:rPr>
          <w:rFonts w:ascii="Times New Roman CYR" w:hAnsi="Times New Roman CYR" w:cs="Times New Roman CYR"/>
          <w:sz w:val="24"/>
          <w:szCs w:val="24"/>
        </w:rPr>
        <w:tab/>
        <w:t>Iнструменти, прилади, iнвентар (меблi)</w:t>
      </w:r>
      <w:r>
        <w:rPr>
          <w:rFonts w:ascii="Times New Roman CYR" w:hAnsi="Times New Roman CYR" w:cs="Times New Roman CYR"/>
          <w:sz w:val="24"/>
          <w:szCs w:val="24"/>
        </w:rPr>
        <w:tab/>
        <w:t>Iншi основнi засоби</w:t>
      </w:r>
      <w:r>
        <w:rPr>
          <w:rFonts w:ascii="Times New Roman CYR" w:hAnsi="Times New Roman CYR" w:cs="Times New Roman CYR"/>
          <w:sz w:val="24"/>
          <w:szCs w:val="24"/>
        </w:rPr>
        <w:tab/>
        <w:t>Iншi необоротнi матерiальнi активи</w:t>
      </w:r>
      <w:r>
        <w:rPr>
          <w:rFonts w:ascii="Times New Roman CYR" w:hAnsi="Times New Roman CYR" w:cs="Times New Roman CYR"/>
          <w:sz w:val="24"/>
          <w:szCs w:val="24"/>
        </w:rPr>
        <w:tab/>
        <w:t>Нематерiальнi активи</w:t>
      </w:r>
      <w:r>
        <w:rPr>
          <w:rFonts w:ascii="Times New Roman CYR" w:hAnsi="Times New Roman CYR" w:cs="Times New Roman CYR"/>
          <w:sz w:val="24"/>
          <w:szCs w:val="24"/>
        </w:rPr>
        <w:tab/>
        <w:t>Усього</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r>
        <w:rPr>
          <w:rFonts w:ascii="Times New Roman CYR" w:hAnsi="Times New Roman CYR" w:cs="Times New Roman CYR"/>
          <w:sz w:val="24"/>
          <w:szCs w:val="24"/>
        </w:rPr>
        <w:tab/>
        <w:t>5</w:t>
      </w:r>
      <w:r>
        <w:rPr>
          <w:rFonts w:ascii="Times New Roman CYR" w:hAnsi="Times New Roman CYR" w:cs="Times New Roman CYR"/>
          <w:sz w:val="24"/>
          <w:szCs w:val="24"/>
        </w:rPr>
        <w:tab/>
        <w:t>6</w:t>
      </w:r>
      <w:r>
        <w:rPr>
          <w:rFonts w:ascii="Times New Roman CYR" w:hAnsi="Times New Roman CYR" w:cs="Times New Roman CYR"/>
          <w:sz w:val="24"/>
          <w:szCs w:val="24"/>
        </w:rPr>
        <w:tab/>
        <w:t>7</w:t>
      </w:r>
      <w:r>
        <w:rPr>
          <w:rFonts w:ascii="Times New Roman CYR" w:hAnsi="Times New Roman CYR" w:cs="Times New Roman CYR"/>
          <w:sz w:val="24"/>
          <w:szCs w:val="24"/>
        </w:rPr>
        <w:tab/>
        <w:t>8</w:t>
      </w:r>
      <w:r>
        <w:rPr>
          <w:rFonts w:ascii="Times New Roman CYR" w:hAnsi="Times New Roman CYR" w:cs="Times New Roman CYR"/>
          <w:sz w:val="24"/>
          <w:szCs w:val="24"/>
        </w:rPr>
        <w:tab/>
        <w:t>9</w:t>
      </w:r>
      <w:r>
        <w:rPr>
          <w:rFonts w:ascii="Times New Roman CYR" w:hAnsi="Times New Roman CYR" w:cs="Times New Roman CYR"/>
          <w:sz w:val="24"/>
          <w:szCs w:val="24"/>
        </w:rPr>
        <w:tab/>
        <w:t>10</w:t>
      </w:r>
      <w:r>
        <w:rPr>
          <w:rFonts w:ascii="Times New Roman CYR" w:hAnsi="Times New Roman CYR" w:cs="Times New Roman CYR"/>
          <w:sz w:val="24"/>
          <w:szCs w:val="24"/>
        </w:rPr>
        <w:tab/>
        <w:t>11</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Балансова вартiсть на 1 сiчня 2023 року:</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4014,9</w:t>
      </w:r>
      <w:r>
        <w:rPr>
          <w:rFonts w:ascii="Times New Roman CYR" w:hAnsi="Times New Roman CYR" w:cs="Times New Roman CYR"/>
          <w:sz w:val="24"/>
          <w:szCs w:val="24"/>
        </w:rPr>
        <w:tab/>
        <w:t>56,8</w:t>
      </w:r>
      <w:r>
        <w:rPr>
          <w:rFonts w:ascii="Times New Roman CYR" w:hAnsi="Times New Roman CYR" w:cs="Times New Roman CYR"/>
          <w:sz w:val="24"/>
          <w:szCs w:val="24"/>
        </w:rPr>
        <w:tab/>
        <w:t>149,5</w:t>
      </w:r>
      <w:r>
        <w:rPr>
          <w:rFonts w:ascii="Times New Roman CYR" w:hAnsi="Times New Roman CYR" w:cs="Times New Roman CYR"/>
          <w:sz w:val="24"/>
          <w:szCs w:val="24"/>
        </w:rPr>
        <w:tab/>
        <w:t>165,0</w:t>
      </w:r>
      <w:r>
        <w:rPr>
          <w:rFonts w:ascii="Times New Roman CYR" w:hAnsi="Times New Roman CYR" w:cs="Times New Roman CYR"/>
          <w:sz w:val="24"/>
          <w:szCs w:val="24"/>
        </w:rPr>
        <w:tab/>
        <w:t>-</w:t>
      </w:r>
      <w:r>
        <w:rPr>
          <w:rFonts w:ascii="Times New Roman CYR" w:hAnsi="Times New Roman CYR" w:cs="Times New Roman CYR"/>
          <w:sz w:val="24"/>
          <w:szCs w:val="24"/>
        </w:rPr>
        <w:tab/>
        <w:t>1</w:t>
      </w:r>
      <w:r>
        <w:rPr>
          <w:rFonts w:ascii="Times New Roman CYR" w:hAnsi="Times New Roman CYR" w:cs="Times New Roman CYR"/>
          <w:sz w:val="24"/>
          <w:szCs w:val="24"/>
        </w:rPr>
        <w:t>35,8</w:t>
      </w:r>
      <w:r>
        <w:rPr>
          <w:rFonts w:ascii="Times New Roman CYR" w:hAnsi="Times New Roman CYR" w:cs="Times New Roman CYR"/>
          <w:sz w:val="24"/>
          <w:szCs w:val="24"/>
        </w:rPr>
        <w:tab/>
        <w:t>4382,0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w:t>
      </w:r>
      <w:r>
        <w:rPr>
          <w:rFonts w:ascii="Times New Roman CYR" w:hAnsi="Times New Roman CYR" w:cs="Times New Roman CYR"/>
          <w:sz w:val="24"/>
          <w:szCs w:val="24"/>
        </w:rPr>
        <w:tab/>
        <w:t>Первiсна (переоцiнена) вартiсть</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12 997,5</w:t>
      </w:r>
      <w:r>
        <w:rPr>
          <w:rFonts w:ascii="Times New Roman CYR" w:hAnsi="Times New Roman CYR" w:cs="Times New Roman CYR"/>
          <w:sz w:val="24"/>
          <w:szCs w:val="24"/>
        </w:rPr>
        <w:tab/>
        <w:t>1029,2</w:t>
      </w:r>
      <w:r>
        <w:rPr>
          <w:rFonts w:ascii="Times New Roman CYR" w:hAnsi="Times New Roman CYR" w:cs="Times New Roman CYR"/>
          <w:sz w:val="24"/>
          <w:szCs w:val="24"/>
        </w:rPr>
        <w:tab/>
        <w:t>314,1</w:t>
      </w:r>
      <w:r>
        <w:rPr>
          <w:rFonts w:ascii="Times New Roman CYR" w:hAnsi="Times New Roman CYR" w:cs="Times New Roman CYR"/>
          <w:sz w:val="24"/>
          <w:szCs w:val="24"/>
        </w:rPr>
        <w:tab/>
        <w:t>582,7</w:t>
      </w:r>
      <w:r>
        <w:rPr>
          <w:rFonts w:ascii="Times New Roman CYR" w:hAnsi="Times New Roman CYR" w:cs="Times New Roman CYR"/>
          <w:sz w:val="24"/>
          <w:szCs w:val="24"/>
        </w:rPr>
        <w:tab/>
        <w:t>-</w:t>
      </w:r>
      <w:r>
        <w:rPr>
          <w:rFonts w:ascii="Times New Roman CYR" w:hAnsi="Times New Roman CYR" w:cs="Times New Roman CYR"/>
          <w:sz w:val="24"/>
          <w:szCs w:val="24"/>
        </w:rPr>
        <w:tab/>
        <w:t>142,5</w:t>
      </w:r>
      <w:r>
        <w:rPr>
          <w:rFonts w:ascii="Times New Roman CYR" w:hAnsi="Times New Roman CYR" w:cs="Times New Roman CYR"/>
          <w:sz w:val="24"/>
          <w:szCs w:val="24"/>
        </w:rPr>
        <w:tab/>
        <w:t>15066,0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w:t>
      </w:r>
      <w:r>
        <w:rPr>
          <w:rFonts w:ascii="Times New Roman CYR" w:hAnsi="Times New Roman CYR" w:cs="Times New Roman CYR"/>
          <w:sz w:val="24"/>
          <w:szCs w:val="24"/>
        </w:rPr>
        <w:tab/>
        <w:t>Знос на 1 сiчня 2022 року</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9129,6</w:t>
      </w:r>
      <w:r>
        <w:rPr>
          <w:rFonts w:ascii="Times New Roman CYR" w:hAnsi="Times New Roman CYR" w:cs="Times New Roman CYR"/>
          <w:sz w:val="24"/>
          <w:szCs w:val="24"/>
        </w:rPr>
        <w:tab/>
        <w:t>972,4</w:t>
      </w:r>
      <w:r>
        <w:rPr>
          <w:rFonts w:ascii="Times New Roman CYR" w:hAnsi="Times New Roman CYR" w:cs="Times New Roman CYR"/>
          <w:sz w:val="24"/>
          <w:szCs w:val="24"/>
        </w:rPr>
        <w:tab/>
        <w:t>164,6</w:t>
      </w:r>
      <w:r>
        <w:rPr>
          <w:rFonts w:ascii="Times New Roman CYR" w:hAnsi="Times New Roman CYR" w:cs="Times New Roman CYR"/>
          <w:sz w:val="24"/>
          <w:szCs w:val="24"/>
        </w:rPr>
        <w:tab/>
        <w:t>410,7</w:t>
      </w:r>
      <w:r>
        <w:rPr>
          <w:rFonts w:ascii="Times New Roman CYR" w:hAnsi="Times New Roman CYR" w:cs="Times New Roman CYR"/>
          <w:sz w:val="24"/>
          <w:szCs w:val="24"/>
        </w:rPr>
        <w:tab/>
        <w:t>-</w:t>
      </w:r>
      <w:r>
        <w:rPr>
          <w:rFonts w:ascii="Times New Roman CYR" w:hAnsi="Times New Roman CYR" w:cs="Times New Roman CYR"/>
          <w:sz w:val="24"/>
          <w:szCs w:val="24"/>
        </w:rPr>
        <w:tab/>
        <w:t>6,7</w:t>
      </w:r>
      <w:r>
        <w:rPr>
          <w:rFonts w:ascii="Times New Roman CYR" w:hAnsi="Times New Roman CYR" w:cs="Times New Roman CYR"/>
          <w:sz w:val="24"/>
          <w:szCs w:val="24"/>
        </w:rPr>
        <w:tab/>
        <w:t>10684,0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Надходження</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t>24,0</w:t>
      </w:r>
      <w:r>
        <w:rPr>
          <w:rFonts w:ascii="Times New Roman CYR" w:hAnsi="Times New Roman CYR" w:cs="Times New Roman CYR"/>
          <w:sz w:val="24"/>
          <w:szCs w:val="24"/>
        </w:rPr>
        <w:tab/>
        <w:t>-</w:t>
      </w:r>
      <w:r>
        <w:rPr>
          <w:rFonts w:ascii="Times New Roman CYR" w:hAnsi="Times New Roman CYR" w:cs="Times New Roman CYR"/>
          <w:sz w:val="24"/>
          <w:szCs w:val="24"/>
        </w:rPr>
        <w:tab/>
        <w:t>24,0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Полiпшення основних засобiв та вдосконалення нематерiальних активiв</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Передавання</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4.1</w:t>
      </w:r>
      <w:r>
        <w:rPr>
          <w:rFonts w:ascii="Times New Roman CYR" w:hAnsi="Times New Roman CYR" w:cs="Times New Roman CYR"/>
          <w:sz w:val="24"/>
          <w:szCs w:val="24"/>
        </w:rPr>
        <w:tab/>
        <w:t>Вибуття</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2,0</w:t>
      </w:r>
      <w:r>
        <w:rPr>
          <w:rFonts w:ascii="Times New Roman CYR" w:hAnsi="Times New Roman CYR" w:cs="Times New Roman CYR"/>
          <w:sz w:val="24"/>
          <w:szCs w:val="24"/>
        </w:rPr>
        <w:tab/>
        <w:t>-</w:t>
      </w:r>
      <w:r>
        <w:rPr>
          <w:rFonts w:ascii="Times New Roman CYR" w:hAnsi="Times New Roman CYR" w:cs="Times New Roman CYR"/>
          <w:sz w:val="24"/>
          <w:szCs w:val="24"/>
        </w:rPr>
        <w:tab/>
        <w:t>2,0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Амортизацiйнi вiдрахування</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43,2</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56,8</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100,00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Вiдображення величини втрат вiд зме</w:t>
      </w:r>
      <w:r>
        <w:rPr>
          <w:rFonts w:ascii="Times New Roman CYR" w:hAnsi="Times New Roman CYR" w:cs="Times New Roman CYR"/>
          <w:sz w:val="24"/>
          <w:szCs w:val="24"/>
        </w:rPr>
        <w:t>ншення корисностi, визначених у фiнансових результатах</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w:t>
      </w:r>
      <w:r>
        <w:rPr>
          <w:rFonts w:ascii="Times New Roman CYR" w:hAnsi="Times New Roman CYR" w:cs="Times New Roman CYR"/>
          <w:sz w:val="24"/>
          <w:szCs w:val="24"/>
        </w:rPr>
        <w:tab/>
        <w:t>Переоцiнка</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7.1</w:t>
      </w:r>
      <w:r>
        <w:rPr>
          <w:rFonts w:ascii="Times New Roman CYR" w:hAnsi="Times New Roman CYR" w:cs="Times New Roman CYR"/>
          <w:sz w:val="24"/>
          <w:szCs w:val="24"/>
        </w:rPr>
        <w:tab/>
        <w:t>Переоцiнка первiсної вартостi</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7.2</w:t>
      </w:r>
      <w:r>
        <w:rPr>
          <w:rFonts w:ascii="Times New Roman CYR" w:hAnsi="Times New Roman CYR" w:cs="Times New Roman CYR"/>
          <w:sz w:val="24"/>
          <w:szCs w:val="24"/>
        </w:rPr>
        <w:tab/>
        <w:t>Переоцiнка зносу</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w:t>
      </w:r>
      <w:r>
        <w:rPr>
          <w:rFonts w:ascii="Times New Roman CYR" w:hAnsi="Times New Roman CYR" w:cs="Times New Roman CYR"/>
          <w:sz w:val="24"/>
          <w:szCs w:val="24"/>
        </w:rPr>
        <w:tab/>
        <w:t>Коригування ОЗ на Iнвестицiйну нерухомiсть</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r>
      <w:r>
        <w:rPr>
          <w:rFonts w:ascii="Times New Roman CYR" w:hAnsi="Times New Roman CYR" w:cs="Times New Roman CYR"/>
          <w:sz w:val="24"/>
          <w:szCs w:val="24"/>
        </w:rPr>
        <w:t>-</w:t>
      </w:r>
      <w:r>
        <w:rPr>
          <w:rFonts w:ascii="Times New Roman CYR" w:hAnsi="Times New Roman CYR" w:cs="Times New Roman CYR"/>
          <w:sz w:val="24"/>
          <w:szCs w:val="24"/>
        </w:rPr>
        <w:tab/>
        <w:t>-</w:t>
      </w:r>
      <w:r>
        <w:rPr>
          <w:rFonts w:ascii="Times New Roman CYR" w:hAnsi="Times New Roman CYR" w:cs="Times New Roman CYR"/>
          <w:sz w:val="24"/>
          <w:szCs w:val="24"/>
        </w:rPr>
        <w:tab/>
        <w:t xml:space="preserve">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8.1</w:t>
      </w:r>
      <w:r>
        <w:rPr>
          <w:rFonts w:ascii="Times New Roman CYR" w:hAnsi="Times New Roman CYR" w:cs="Times New Roman CYR"/>
          <w:sz w:val="24"/>
          <w:szCs w:val="24"/>
        </w:rPr>
        <w:tab/>
        <w:t>Коригування зносу ОЗ на знос МБП</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w:t>
      </w:r>
      <w:r>
        <w:rPr>
          <w:rFonts w:ascii="Times New Roman CYR" w:hAnsi="Times New Roman CYR" w:cs="Times New Roman CYR"/>
          <w:sz w:val="24"/>
          <w:szCs w:val="24"/>
        </w:rPr>
        <w:tab/>
        <w:t>Балансова вартiсть на 30 червня   2023року:</w:t>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3824,5</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0</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149,5</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165</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0</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135,8</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4282,0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9.1</w:t>
      </w:r>
      <w:r>
        <w:rPr>
          <w:rFonts w:ascii="Times New Roman CYR" w:hAnsi="Times New Roman CYR" w:cs="Times New Roman CYR"/>
          <w:sz w:val="24"/>
          <w:szCs w:val="24"/>
        </w:rPr>
        <w:tab/>
        <w:t>Первiсна (переоцiнена) вартiсть</w:t>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12 997,5</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1029,2</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314,1</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582,7</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22,0</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142,5</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15 088,0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9.2</w:t>
      </w:r>
      <w:r>
        <w:rPr>
          <w:rFonts w:ascii="Times New Roman CYR" w:hAnsi="Times New Roman CYR" w:cs="Times New Roman CYR"/>
          <w:sz w:val="24"/>
          <w:szCs w:val="24"/>
        </w:rPr>
        <w:tab/>
        <w:t>Знос на 30 червня  2023 року</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9249,8</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1029,2</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164,6</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410,7</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22,0</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6,7</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10  883,0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та нематерiальнi активи, наведенi в Таблицi 6.1 належать Компанiї на правi власностi i в заставу не наданi. Компанiя не обмежена у во</w:t>
      </w:r>
      <w:r>
        <w:rPr>
          <w:rFonts w:ascii="Times New Roman CYR" w:hAnsi="Times New Roman CYR" w:cs="Times New Roman CYR"/>
          <w:sz w:val="24"/>
          <w:szCs w:val="24"/>
        </w:rPr>
        <w:t xml:space="preserve">лодiннi, користуваннi та розпорядженнi власними основними засобами.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Станом на звiтну дату дооцiнка не здiйснювалась та вiдсутнi суттєвi зобов'язання Компанiї щодо придбання основних засобiв.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6.2. Iнвестицiйна нерухомiсть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Iнвестицiйна нерухомiсть, облiковується за справедливою вартiстю.</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Таб.6.2.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Земельнi дiлянки</w:t>
      </w:r>
      <w:r>
        <w:rPr>
          <w:rFonts w:ascii="Times New Roman CYR" w:hAnsi="Times New Roman CYR" w:cs="Times New Roman CYR"/>
          <w:sz w:val="24"/>
          <w:szCs w:val="24"/>
        </w:rPr>
        <w:tab/>
        <w:t>Будiвлi</w:t>
      </w:r>
      <w:r>
        <w:rPr>
          <w:rFonts w:ascii="Times New Roman CYR" w:hAnsi="Times New Roman CYR" w:cs="Times New Roman CYR"/>
          <w:sz w:val="24"/>
          <w:szCs w:val="24"/>
        </w:rPr>
        <w:tab/>
        <w:t>Нежитлове примiщення</w:t>
      </w:r>
      <w:r>
        <w:rPr>
          <w:rFonts w:ascii="Times New Roman CYR" w:hAnsi="Times New Roman CYR" w:cs="Times New Roman CYR"/>
          <w:sz w:val="24"/>
          <w:szCs w:val="24"/>
        </w:rPr>
        <w:tab/>
        <w:t>Усього</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r>
        <w:rPr>
          <w:rFonts w:ascii="Times New Roman CYR" w:hAnsi="Times New Roman CYR" w:cs="Times New Roman CYR"/>
          <w:sz w:val="24"/>
          <w:szCs w:val="24"/>
        </w:rPr>
        <w:tab/>
        <w:t>5</w:t>
      </w:r>
      <w:r>
        <w:rPr>
          <w:rFonts w:ascii="Times New Roman CYR" w:hAnsi="Times New Roman CYR" w:cs="Times New Roman CYR"/>
          <w:sz w:val="24"/>
          <w:szCs w:val="24"/>
        </w:rPr>
        <w:tab/>
        <w:t>6</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Залишок станом на 01 сiчня 2023р.</w:t>
      </w:r>
      <w:r>
        <w:rPr>
          <w:rFonts w:ascii="Times New Roman CYR" w:hAnsi="Times New Roman CYR" w:cs="Times New Roman CYR"/>
          <w:sz w:val="24"/>
          <w:szCs w:val="24"/>
        </w:rPr>
        <w:tab/>
        <w:t>25 490,0</w:t>
      </w:r>
      <w:r>
        <w:rPr>
          <w:rFonts w:ascii="Times New Roman CYR" w:hAnsi="Times New Roman CYR" w:cs="Times New Roman CYR"/>
          <w:sz w:val="24"/>
          <w:szCs w:val="24"/>
        </w:rPr>
        <w:tab/>
        <w:t>-</w:t>
      </w:r>
      <w:r>
        <w:rPr>
          <w:rFonts w:ascii="Times New Roman CYR" w:hAnsi="Times New Roman CYR" w:cs="Times New Roman CYR"/>
          <w:sz w:val="24"/>
          <w:szCs w:val="24"/>
        </w:rPr>
        <w:tab/>
        <w:t>31 418,0</w:t>
      </w:r>
      <w:r>
        <w:rPr>
          <w:rFonts w:ascii="Times New Roman CYR" w:hAnsi="Times New Roman CYR" w:cs="Times New Roman CYR"/>
          <w:sz w:val="24"/>
          <w:szCs w:val="24"/>
        </w:rPr>
        <w:tab/>
        <w:t>56 908,0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w:t>
      </w:r>
      <w:r>
        <w:rPr>
          <w:rFonts w:ascii="Times New Roman CYR" w:hAnsi="Times New Roman CYR" w:cs="Times New Roman CYR"/>
          <w:sz w:val="24"/>
          <w:szCs w:val="24"/>
        </w:rPr>
        <w:tab/>
      </w:r>
      <w:r>
        <w:rPr>
          <w:rFonts w:ascii="Times New Roman CYR" w:hAnsi="Times New Roman CYR" w:cs="Times New Roman CYR"/>
          <w:sz w:val="24"/>
          <w:szCs w:val="24"/>
        </w:rPr>
        <w:t>Балансова вартiсть</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w:t>
      </w:r>
      <w:r>
        <w:rPr>
          <w:rFonts w:ascii="Times New Roman CYR" w:hAnsi="Times New Roman CYR" w:cs="Times New Roman CYR"/>
          <w:sz w:val="24"/>
          <w:szCs w:val="24"/>
        </w:rPr>
        <w:tab/>
        <w:t>Знос</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Капiтальнi iнвестицiї на реконструкцiю</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Амортизацiя</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Змiна справедливої вартостi iнвестицiйної нерухомостi (дооцiнка)</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 xml:space="preserve">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Переведення з категорiї капiтальних iнвестицiй до iнвест</w:t>
      </w:r>
      <w:r>
        <w:rPr>
          <w:rFonts w:ascii="Times New Roman CYR" w:hAnsi="Times New Roman CYR" w:cs="Times New Roman CYR"/>
          <w:sz w:val="24"/>
          <w:szCs w:val="24"/>
        </w:rPr>
        <w:t>ицiйної нерухомостi</w:t>
      </w:r>
      <w:r>
        <w:rPr>
          <w:rFonts w:ascii="Times New Roman CYR" w:hAnsi="Times New Roman CYR" w:cs="Times New Roman CYR"/>
          <w:sz w:val="24"/>
          <w:szCs w:val="24"/>
        </w:rPr>
        <w:tab/>
        <w:t>-</w:t>
      </w:r>
      <w:r>
        <w:rPr>
          <w:rFonts w:ascii="Times New Roman CYR" w:hAnsi="Times New Roman CYR" w:cs="Times New Roman CYR"/>
          <w:sz w:val="24"/>
          <w:szCs w:val="24"/>
        </w:rPr>
        <w:tab/>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Переведення з категорiї з категорiї будiвель, займаних власником</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w:t>
      </w:r>
      <w:r>
        <w:rPr>
          <w:rFonts w:ascii="Times New Roman CYR" w:hAnsi="Times New Roman CYR" w:cs="Times New Roman CYR"/>
          <w:sz w:val="24"/>
          <w:szCs w:val="24"/>
        </w:rPr>
        <w:tab/>
        <w:t>Балансова вартiсть</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w:t>
      </w:r>
      <w:r>
        <w:rPr>
          <w:rFonts w:ascii="Times New Roman CYR" w:hAnsi="Times New Roman CYR" w:cs="Times New Roman CYR"/>
          <w:sz w:val="24"/>
          <w:szCs w:val="24"/>
        </w:rPr>
        <w:tab/>
        <w:t>Знос</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w:t>
      </w:r>
      <w:r>
        <w:rPr>
          <w:rFonts w:ascii="Times New Roman CYR" w:hAnsi="Times New Roman CYR" w:cs="Times New Roman CYR"/>
          <w:sz w:val="24"/>
          <w:szCs w:val="24"/>
        </w:rPr>
        <w:tab/>
        <w:t>Вибуття</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7.1</w:t>
      </w:r>
      <w:r>
        <w:rPr>
          <w:rFonts w:ascii="Times New Roman CYR" w:hAnsi="Times New Roman CYR" w:cs="Times New Roman CYR"/>
          <w:sz w:val="24"/>
          <w:szCs w:val="24"/>
        </w:rPr>
        <w:tab/>
        <w:t>Балансова вартiсть</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7.2</w:t>
      </w:r>
      <w:r>
        <w:rPr>
          <w:rFonts w:ascii="Times New Roman CYR" w:hAnsi="Times New Roman CYR" w:cs="Times New Roman CYR"/>
          <w:sz w:val="24"/>
          <w:szCs w:val="24"/>
        </w:rPr>
        <w:tab/>
        <w:t>Знос</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w:t>
      </w:r>
      <w:r>
        <w:rPr>
          <w:rFonts w:ascii="Times New Roman CYR" w:hAnsi="Times New Roman CYR" w:cs="Times New Roman CYR"/>
          <w:sz w:val="24"/>
          <w:szCs w:val="24"/>
        </w:rPr>
        <w:tab/>
        <w:t>Залишок станом на 30.06.2023р.</w:t>
      </w:r>
      <w:r>
        <w:rPr>
          <w:rFonts w:ascii="Times New Roman CYR" w:hAnsi="Times New Roman CYR" w:cs="Times New Roman CYR"/>
          <w:sz w:val="24"/>
          <w:szCs w:val="24"/>
        </w:rPr>
        <w:tab/>
        <w:t>25 490,0</w:t>
      </w:r>
      <w:r>
        <w:rPr>
          <w:rFonts w:ascii="Times New Roman CYR" w:hAnsi="Times New Roman CYR" w:cs="Times New Roman CYR"/>
          <w:sz w:val="24"/>
          <w:szCs w:val="24"/>
        </w:rPr>
        <w:tab/>
        <w:t>-</w:t>
      </w:r>
      <w:r>
        <w:rPr>
          <w:rFonts w:ascii="Times New Roman CYR" w:hAnsi="Times New Roman CYR" w:cs="Times New Roman CYR"/>
          <w:sz w:val="24"/>
          <w:szCs w:val="24"/>
        </w:rPr>
        <w:tab/>
        <w:t>31 418,0</w:t>
      </w:r>
      <w:r>
        <w:rPr>
          <w:rFonts w:ascii="Times New Roman CYR" w:hAnsi="Times New Roman CYR" w:cs="Times New Roman CYR"/>
          <w:sz w:val="24"/>
          <w:szCs w:val="24"/>
        </w:rPr>
        <w:tab/>
        <w:t>56 908,0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Амортизацiя на нерухомiсть в звiтному перiодi не нараховувалась вiдповiдно до МСБО 16., а саме тому, що вона  ще не доступна до використання ,стан не дозволяє iї експлуатувати вiдповiдно до нам</w:t>
      </w:r>
      <w:r>
        <w:rPr>
          <w:rFonts w:ascii="Times New Roman CYR" w:hAnsi="Times New Roman CYR" w:cs="Times New Roman CYR"/>
          <w:sz w:val="24"/>
          <w:szCs w:val="24"/>
        </w:rPr>
        <w:t>iрiв керiвництва. Амортизацiя на земельнi дiлянки та iнвестицiйну нерухомiсть не нараховується.</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Iнвестицiйна нерухомiсть станом на 30.06.2023р.</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Таб.6.2.2 (тис. 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Об"екти  нерухомостi </w:t>
      </w:r>
      <w:r>
        <w:rPr>
          <w:rFonts w:ascii="Times New Roman CYR" w:hAnsi="Times New Roman CYR" w:cs="Times New Roman CYR"/>
          <w:sz w:val="24"/>
          <w:szCs w:val="24"/>
        </w:rPr>
        <w:tab/>
        <w:t>Напрями використання</w:t>
      </w:r>
      <w:r>
        <w:rPr>
          <w:rFonts w:ascii="Times New Roman CYR" w:hAnsi="Times New Roman CYR" w:cs="Times New Roman CYR"/>
          <w:sz w:val="24"/>
          <w:szCs w:val="24"/>
        </w:rPr>
        <w:tab/>
        <w:t>Вартiсть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Первiсна</w:t>
      </w:r>
      <w:r>
        <w:rPr>
          <w:rFonts w:ascii="Times New Roman CYR" w:hAnsi="Times New Roman CYR" w:cs="Times New Roman CYR"/>
          <w:sz w:val="24"/>
          <w:szCs w:val="24"/>
        </w:rPr>
        <w:tab/>
        <w:t>Переоцiнена</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r>
        <w:rPr>
          <w:rFonts w:ascii="Times New Roman CYR" w:hAnsi="Times New Roman CYR" w:cs="Times New Roman CYR"/>
          <w:sz w:val="24"/>
          <w:szCs w:val="24"/>
        </w:rPr>
        <w:tab/>
      </w:r>
      <w:r>
        <w:rPr>
          <w:rFonts w:ascii="Times New Roman CYR" w:hAnsi="Times New Roman CYR" w:cs="Times New Roman CYR"/>
          <w:sz w:val="24"/>
          <w:szCs w:val="24"/>
        </w:rPr>
        <w:t>5</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Земельна дiлянка, Київська обл., Макарiвський р., с. Мостище, вулиця Озерна, 322784701:01:011:0173</w:t>
      </w:r>
      <w:r>
        <w:rPr>
          <w:rFonts w:ascii="Times New Roman CYR" w:hAnsi="Times New Roman CYR" w:cs="Times New Roman CYR"/>
          <w:sz w:val="24"/>
          <w:szCs w:val="24"/>
        </w:rPr>
        <w:tab/>
        <w:t>Iнвестицiйна</w:t>
      </w:r>
      <w:r>
        <w:rPr>
          <w:rFonts w:ascii="Times New Roman CYR" w:hAnsi="Times New Roman CYR" w:cs="Times New Roman CYR"/>
          <w:sz w:val="24"/>
          <w:szCs w:val="24"/>
        </w:rPr>
        <w:tab/>
        <w:t>761,5</w:t>
      </w:r>
      <w:r>
        <w:rPr>
          <w:rFonts w:ascii="Times New Roman CYR" w:hAnsi="Times New Roman CYR" w:cs="Times New Roman CYR"/>
          <w:sz w:val="24"/>
          <w:szCs w:val="24"/>
        </w:rPr>
        <w:tab/>
        <w:t>690,0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Земельна дiлянка, Київська обл., Макарiвський р., с.Мостище,вулиця Озерна, 322784701:01:011:0174</w:t>
      </w:r>
      <w:r>
        <w:rPr>
          <w:rFonts w:ascii="Times New Roman CYR" w:hAnsi="Times New Roman CYR" w:cs="Times New Roman CYR"/>
          <w:sz w:val="24"/>
          <w:szCs w:val="24"/>
        </w:rPr>
        <w:tab/>
        <w:t>Iнвестицiйна</w:t>
      </w:r>
      <w:r>
        <w:rPr>
          <w:rFonts w:ascii="Times New Roman CYR" w:hAnsi="Times New Roman CYR" w:cs="Times New Roman CYR"/>
          <w:sz w:val="24"/>
          <w:szCs w:val="24"/>
        </w:rPr>
        <w:tab/>
        <w:t>761,5</w:t>
      </w:r>
      <w:r>
        <w:rPr>
          <w:rFonts w:ascii="Times New Roman CYR" w:hAnsi="Times New Roman CYR" w:cs="Times New Roman CYR"/>
          <w:sz w:val="24"/>
          <w:szCs w:val="24"/>
        </w:rPr>
        <w:tab/>
        <w:t>690,0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Земельна дiлянка, Київська обл., Макарiвський р., с.Мостище,вулиця Озерна, 322784701:01:011:0175</w:t>
      </w:r>
      <w:r>
        <w:rPr>
          <w:rFonts w:ascii="Times New Roman CYR" w:hAnsi="Times New Roman CYR" w:cs="Times New Roman CYR"/>
          <w:sz w:val="24"/>
          <w:szCs w:val="24"/>
        </w:rPr>
        <w:tab/>
        <w:t>Iнвестицiйна</w:t>
      </w:r>
      <w:r>
        <w:rPr>
          <w:rFonts w:ascii="Times New Roman CYR" w:hAnsi="Times New Roman CYR" w:cs="Times New Roman CYR"/>
          <w:sz w:val="24"/>
          <w:szCs w:val="24"/>
        </w:rPr>
        <w:tab/>
        <w:t>761,5</w:t>
      </w:r>
      <w:r>
        <w:rPr>
          <w:rFonts w:ascii="Times New Roman CYR" w:hAnsi="Times New Roman CYR" w:cs="Times New Roman CYR"/>
          <w:sz w:val="24"/>
          <w:szCs w:val="24"/>
        </w:rPr>
        <w:tab/>
        <w:t>690,0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Земельна дiлянка, Київська обл., м.Iрпiнь, смт.Гостомель, 321045900:01:076:0102</w:t>
      </w:r>
      <w:r>
        <w:rPr>
          <w:rFonts w:ascii="Times New Roman CYR" w:hAnsi="Times New Roman CYR" w:cs="Times New Roman CYR"/>
          <w:sz w:val="24"/>
          <w:szCs w:val="24"/>
        </w:rPr>
        <w:tab/>
        <w:t>Iнвестицiйна</w:t>
      </w:r>
      <w:r>
        <w:rPr>
          <w:rFonts w:ascii="Times New Roman CYR" w:hAnsi="Times New Roman CYR" w:cs="Times New Roman CYR"/>
          <w:sz w:val="24"/>
          <w:szCs w:val="24"/>
        </w:rPr>
        <w:tab/>
        <w:t>17250,0</w:t>
      </w:r>
      <w:r>
        <w:rPr>
          <w:rFonts w:ascii="Times New Roman CYR" w:hAnsi="Times New Roman CYR" w:cs="Times New Roman CYR"/>
          <w:sz w:val="24"/>
          <w:szCs w:val="24"/>
        </w:rPr>
        <w:tab/>
        <w:t>20 350,00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Земельна дiлянка</w:t>
      </w:r>
      <w:r>
        <w:rPr>
          <w:rFonts w:ascii="Times New Roman CYR" w:hAnsi="Times New Roman CYR" w:cs="Times New Roman CYR"/>
          <w:sz w:val="24"/>
          <w:szCs w:val="24"/>
        </w:rPr>
        <w:t>, Київська обл., Макарiвський р-н, с/рада Гружчанська, 3222782100-03-014-0032</w:t>
      </w:r>
      <w:r>
        <w:rPr>
          <w:rFonts w:ascii="Times New Roman CYR" w:hAnsi="Times New Roman CYR" w:cs="Times New Roman CYR"/>
          <w:sz w:val="24"/>
          <w:szCs w:val="24"/>
        </w:rPr>
        <w:tab/>
        <w:t>Iнвестицiйна</w:t>
      </w:r>
      <w:r>
        <w:rPr>
          <w:rFonts w:ascii="Times New Roman CYR" w:hAnsi="Times New Roman CYR" w:cs="Times New Roman CYR"/>
          <w:sz w:val="24"/>
          <w:szCs w:val="24"/>
        </w:rPr>
        <w:tab/>
        <w:t>3090,,0</w:t>
      </w:r>
      <w:r>
        <w:rPr>
          <w:rFonts w:ascii="Times New Roman CYR" w:hAnsi="Times New Roman CYR" w:cs="Times New Roman CYR"/>
          <w:sz w:val="24"/>
          <w:szCs w:val="24"/>
        </w:rPr>
        <w:tab/>
        <w:t>3 070,0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м.Київ, пр-кт Перемоги, буд.2 нежитлове примiщення 74-75</w:t>
      </w:r>
      <w:r>
        <w:rPr>
          <w:rFonts w:ascii="Times New Roman CYR" w:hAnsi="Times New Roman CYR" w:cs="Times New Roman CYR"/>
          <w:sz w:val="24"/>
          <w:szCs w:val="24"/>
        </w:rPr>
        <w:tab/>
        <w:t>Iнвестицiйна</w:t>
      </w:r>
      <w:r>
        <w:rPr>
          <w:rFonts w:ascii="Times New Roman CYR" w:hAnsi="Times New Roman CYR" w:cs="Times New Roman CYR"/>
          <w:sz w:val="24"/>
          <w:szCs w:val="24"/>
        </w:rPr>
        <w:tab/>
        <w:t>12 463,0</w:t>
      </w:r>
      <w:r>
        <w:rPr>
          <w:rFonts w:ascii="Times New Roman CYR" w:hAnsi="Times New Roman CYR" w:cs="Times New Roman CYR"/>
          <w:sz w:val="24"/>
          <w:szCs w:val="24"/>
        </w:rPr>
        <w:tab/>
        <w:t>12 463,0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м.Київ, вул.Саперно-Слобiдська, буд 22, нежитлове при</w:t>
      </w:r>
      <w:r>
        <w:rPr>
          <w:rFonts w:ascii="Times New Roman CYR" w:hAnsi="Times New Roman CYR" w:cs="Times New Roman CYR"/>
          <w:sz w:val="24"/>
          <w:szCs w:val="24"/>
        </w:rPr>
        <w:t>мiщення 304</w:t>
      </w:r>
      <w:r>
        <w:rPr>
          <w:rFonts w:ascii="Times New Roman CYR" w:hAnsi="Times New Roman CYR" w:cs="Times New Roman CYR"/>
          <w:sz w:val="24"/>
          <w:szCs w:val="24"/>
        </w:rPr>
        <w:tab/>
        <w:t>Iнвестицiйна</w:t>
      </w:r>
      <w:r>
        <w:rPr>
          <w:rFonts w:ascii="Times New Roman CYR" w:hAnsi="Times New Roman CYR" w:cs="Times New Roman CYR"/>
          <w:sz w:val="24"/>
          <w:szCs w:val="24"/>
        </w:rPr>
        <w:tab/>
        <w:t>18 955,0</w:t>
      </w:r>
      <w:r>
        <w:rPr>
          <w:rFonts w:ascii="Times New Roman CYR" w:hAnsi="Times New Roman CYR" w:cs="Times New Roman CYR"/>
          <w:sz w:val="24"/>
          <w:szCs w:val="24"/>
        </w:rPr>
        <w:tab/>
        <w:t>18 955,0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Дохiд вiд iнвестицiйної нерухомостi у звiтному перiодi складає 32 ,0 тис.грн. вiд надання в оренду примiщення за адресою м.Київ, вул.  Глушкова, 9Д.</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примiщеннi за адресою  м.Київ, пр-кт Перемоги, буд.2 нежитло</w:t>
      </w:r>
      <w:r>
        <w:rPr>
          <w:rFonts w:ascii="Times New Roman CYR" w:hAnsi="Times New Roman CYR" w:cs="Times New Roman CYR"/>
          <w:sz w:val="24"/>
          <w:szCs w:val="24"/>
        </w:rPr>
        <w:t>ве примiщення 74-75, 57,5м/кв. для отримання дохiду вiд оренди, проводяться ремонтнi работи.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Також для отримання прибутку вiд земельних дiлянок Кампанiя розробляє пректнi документи для забудови житлових примiщень.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6.3.  Фiнансовi активи.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6.3.1. Довгост</w:t>
      </w:r>
      <w:r>
        <w:rPr>
          <w:rFonts w:ascii="Times New Roman CYR" w:hAnsi="Times New Roman CYR" w:cs="Times New Roman CYR"/>
          <w:sz w:val="24"/>
          <w:szCs w:val="24"/>
        </w:rPr>
        <w:t>роковi фiнансовi iнвестицiї</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Фiнансовi активи,  що облiковуються за методом участi в капiталi.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Станом на 30.06.2023 року на балансi Компанiї облiковуються внески до статутних капiталiв iнших пiдприємств  за методом участi в капiталв сумi 1075,0 тис.грн.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пiдставi рiшення №5 загальних зборiв учасникiв ТОВ "Базис Центр" (ЄДРПОУ 40619070, країна реєстрацiї Україна) вiд 05.12.2018 року зареєстрована частка ПрАТ "СК "Сатiс" у статутному капiталi 1000,0 тис.грн., що становить 80% (фактично сплачено 700,0 ти</w:t>
      </w:r>
      <w:r>
        <w:rPr>
          <w:rFonts w:ascii="Times New Roman CYR" w:hAnsi="Times New Roman CYR" w:cs="Times New Roman CYR"/>
          <w:sz w:val="24"/>
          <w:szCs w:val="24"/>
        </w:rPr>
        <w:t>с.грн.). Вiдповiдно до рiшення учасникiв ТОВ "Базис Центр" було прийнято рiшення, щодо збiльшення статутного капiталу до 1250,0 тис.грн. в якому СК "САТIС" збiльшив свою долю до розмiру 1000,0 тис.грн., та виникло зобов"язання щодо перерахування внеску.Пер</w:t>
      </w:r>
      <w:r>
        <w:rPr>
          <w:rFonts w:ascii="Times New Roman CYR" w:hAnsi="Times New Roman CYR" w:cs="Times New Roman CYR"/>
          <w:sz w:val="24"/>
          <w:szCs w:val="24"/>
        </w:rPr>
        <w:t xml:space="preserve">еоцiнена доля в участi СК "САТIС" склала на звiтну дату 1075,0 тис.грн. Прибуток склав у 2023 роцi у сумi 29,0 тис.грн.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2022 рiк</w:t>
      </w:r>
      <w:r>
        <w:rPr>
          <w:rFonts w:ascii="Times New Roman CYR" w:hAnsi="Times New Roman CYR" w:cs="Times New Roman CYR"/>
          <w:sz w:val="24"/>
          <w:szCs w:val="24"/>
        </w:rPr>
        <w:tab/>
        <w:t>2023 рiк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Iнвестицiї пов'язаним сторонам за методом облiку участi в капiталi</w:t>
      </w:r>
      <w:r>
        <w:rPr>
          <w:rFonts w:ascii="Times New Roman CYR" w:hAnsi="Times New Roman CYR" w:cs="Times New Roman CYR"/>
          <w:sz w:val="24"/>
          <w:szCs w:val="24"/>
        </w:rPr>
        <w:tab/>
        <w:t>746,0</w:t>
      </w:r>
      <w:r>
        <w:rPr>
          <w:rFonts w:ascii="Times New Roman CYR" w:hAnsi="Times New Roman CYR" w:cs="Times New Roman CYR"/>
          <w:sz w:val="24"/>
          <w:szCs w:val="24"/>
        </w:rPr>
        <w:tab/>
        <w:t>1075,</w:t>
      </w:r>
      <w:r>
        <w:rPr>
          <w:rFonts w:ascii="Times New Roman CYR" w:hAnsi="Times New Roman CYR" w:cs="Times New Roman CYR"/>
          <w:sz w:val="24"/>
          <w:szCs w:val="24"/>
        </w:rPr>
        <w:t>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Данi iнвестицiї були проведенi з метою розроблення та впровадження високотехнологiчного устаткування, iншої iнновацiйної   продукцiї, ресурсної енергозберiгаючих технологiй, вiдповiдно до вимог Постанови КМУ вiд 17 серпня 2002 р. N 1211 "Про затвердженн</w:t>
      </w:r>
      <w:r>
        <w:rPr>
          <w:rFonts w:ascii="Times New Roman CYR" w:hAnsi="Times New Roman CYR" w:cs="Times New Roman CYR"/>
          <w:sz w:val="24"/>
          <w:szCs w:val="24"/>
        </w:rPr>
        <w:t>я напрямiв iнвестування галузей економiки за рахунок коштiв страхових резервiв". Цi iнвестицiї вважаються iнвестицiями в асоцiйованi пiдприємства, Компанiя не має суттєвого впливу на дiяльнiсть цих Пiдприємств, тому було прийнято рiшення не складати консол</w:t>
      </w:r>
      <w:r>
        <w:rPr>
          <w:rFonts w:ascii="Times New Roman CYR" w:hAnsi="Times New Roman CYR" w:cs="Times New Roman CYR"/>
          <w:sz w:val="24"/>
          <w:szCs w:val="24"/>
        </w:rPr>
        <w:t xml:space="preserve">iдовану звiтнiсть за звiтнiй перiод, ця звiтнiсть є єдина, що подається Компанiєю.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6.4.  Оренда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30.06.2023р. Компанiя має договори оренди: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Короткостроковi договори оренди - 3 шт. на суму 258,0  тис.грн..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Договори оренди низької вартостi - 5</w:t>
      </w:r>
      <w:r>
        <w:rPr>
          <w:rFonts w:ascii="Times New Roman CYR" w:hAnsi="Times New Roman CYR" w:cs="Times New Roman CYR"/>
          <w:sz w:val="24"/>
          <w:szCs w:val="24"/>
        </w:rPr>
        <w:t xml:space="preserve"> шт. на суму 29, 9 тис. 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Враховуючи, що Компанiя укладає короткостроковi договори оренди та/або об'єкти оренди є низької вартостi , управлiнський персонал прийняв рiшення про вiдсутнiсть пiдстав  для застосування МСФЗ 16 "Оренда". Компанiя вважає, що </w:t>
      </w:r>
      <w:r>
        <w:rPr>
          <w:rFonts w:ascii="Times New Roman CYR" w:hAnsi="Times New Roman CYR" w:cs="Times New Roman CYR"/>
          <w:sz w:val="24"/>
          <w:szCs w:val="24"/>
        </w:rPr>
        <w:t xml:space="preserve">застосування цього стандарту не матиме суттєвого впливу на цю фiнансову звiтнiсть. Оренднi платежi визнаються витратами на прямолiнiйнiй основi.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6.5.  Запаси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30.06.2023 р. Компанiєю було проведено оцiнку вартостi запасiв на вiдповiднiсть їх ва</w:t>
      </w:r>
      <w:r>
        <w:rPr>
          <w:rFonts w:ascii="Times New Roman CYR" w:hAnsi="Times New Roman CYR" w:cs="Times New Roman CYR"/>
          <w:sz w:val="24"/>
          <w:szCs w:val="24"/>
        </w:rPr>
        <w:t>ртостi вимогам МСБО 2. Балансова вартiсть запасiв не перевищує чистої вартостi їх реалiзацiї.</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Таб.6.5. (тис. 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2022 рiк</w:t>
      </w:r>
      <w:r>
        <w:rPr>
          <w:rFonts w:ascii="Times New Roman CYR" w:hAnsi="Times New Roman CYR" w:cs="Times New Roman CYR"/>
          <w:sz w:val="24"/>
          <w:szCs w:val="24"/>
        </w:rPr>
        <w:tab/>
        <w:t>2023 рiк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Разом залишки запасiв на кiнець року, в тому числi:</w:t>
      </w:r>
      <w:r>
        <w:rPr>
          <w:rFonts w:ascii="Times New Roman CYR" w:hAnsi="Times New Roman CYR" w:cs="Times New Roman CYR"/>
          <w:sz w:val="24"/>
          <w:szCs w:val="24"/>
        </w:rPr>
        <w:tab/>
        <w:t>4</w:t>
      </w:r>
      <w:r>
        <w:rPr>
          <w:rFonts w:ascii="Times New Roman CYR" w:hAnsi="Times New Roman CYR" w:cs="Times New Roman CYR"/>
          <w:sz w:val="24"/>
          <w:szCs w:val="24"/>
        </w:rPr>
        <w:tab/>
        <w:t>11</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w:t>
      </w:r>
      <w:r>
        <w:rPr>
          <w:rFonts w:ascii="Times New Roman CYR" w:hAnsi="Times New Roman CYR" w:cs="Times New Roman CYR"/>
          <w:sz w:val="24"/>
          <w:szCs w:val="24"/>
        </w:rPr>
        <w:tab/>
        <w:t>Матерiали</w:t>
      </w:r>
      <w:r>
        <w:rPr>
          <w:rFonts w:ascii="Times New Roman CYR" w:hAnsi="Times New Roman CYR" w:cs="Times New Roman CYR"/>
          <w:sz w:val="24"/>
          <w:szCs w:val="24"/>
        </w:rPr>
        <w:tab/>
        <w:t>2,1</w:t>
      </w:r>
      <w:r>
        <w:rPr>
          <w:rFonts w:ascii="Times New Roman CYR" w:hAnsi="Times New Roman CYR" w:cs="Times New Roman CYR"/>
          <w:sz w:val="24"/>
          <w:szCs w:val="24"/>
        </w:rPr>
        <w:tab/>
        <w:t>9,5</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w:t>
      </w:r>
      <w:r>
        <w:rPr>
          <w:rFonts w:ascii="Times New Roman CYR" w:hAnsi="Times New Roman CYR" w:cs="Times New Roman CYR"/>
          <w:sz w:val="24"/>
          <w:szCs w:val="24"/>
        </w:rPr>
        <w:tab/>
        <w:t>Паливо</w:t>
      </w:r>
      <w:r>
        <w:rPr>
          <w:rFonts w:ascii="Times New Roman CYR" w:hAnsi="Times New Roman CYR" w:cs="Times New Roman CYR"/>
          <w:sz w:val="24"/>
          <w:szCs w:val="24"/>
        </w:rPr>
        <w:tab/>
        <w:t>1,9</w:t>
      </w:r>
      <w:r>
        <w:rPr>
          <w:rFonts w:ascii="Times New Roman CYR" w:hAnsi="Times New Roman CYR" w:cs="Times New Roman CYR"/>
          <w:sz w:val="24"/>
          <w:szCs w:val="24"/>
        </w:rPr>
        <w:tab/>
        <w:t>0,5</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w:t>
      </w:r>
      <w:r>
        <w:rPr>
          <w:rFonts w:ascii="Times New Roman CYR" w:hAnsi="Times New Roman CYR" w:cs="Times New Roman CYR"/>
          <w:sz w:val="24"/>
          <w:szCs w:val="24"/>
        </w:rPr>
        <w:tab/>
        <w:t>Запаснi частини</w:t>
      </w:r>
      <w:r>
        <w:rPr>
          <w:rFonts w:ascii="Times New Roman CYR" w:hAnsi="Times New Roman CYR" w:cs="Times New Roman CYR"/>
          <w:sz w:val="24"/>
          <w:szCs w:val="24"/>
        </w:rPr>
        <w:tab/>
        <w:t>-</w:t>
      </w:r>
      <w:r>
        <w:rPr>
          <w:rFonts w:ascii="Times New Roman CYR" w:hAnsi="Times New Roman CYR" w:cs="Times New Roman CYR"/>
          <w:sz w:val="24"/>
          <w:szCs w:val="24"/>
        </w:rPr>
        <w:tab/>
        <w:t>1,0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w:t>
      </w:r>
      <w:r>
        <w:rPr>
          <w:rFonts w:ascii="Times New Roman CYR" w:hAnsi="Times New Roman CYR" w:cs="Times New Roman CYR"/>
          <w:sz w:val="24"/>
          <w:szCs w:val="24"/>
        </w:rPr>
        <w:tab/>
        <w:t>Iншi запаси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Капiтальнi iнвестицiї (ремонт)</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Вiднесено на витрати запасiв в поточному роцi</w:t>
      </w:r>
      <w:r>
        <w:rPr>
          <w:rFonts w:ascii="Times New Roman CYR" w:hAnsi="Times New Roman CYR" w:cs="Times New Roman CYR"/>
          <w:sz w:val="24"/>
          <w:szCs w:val="24"/>
        </w:rPr>
        <w:tab/>
        <w:t>69</w:t>
      </w:r>
      <w:r>
        <w:rPr>
          <w:rFonts w:ascii="Times New Roman CYR" w:hAnsi="Times New Roman CYR" w:cs="Times New Roman CYR"/>
          <w:sz w:val="24"/>
          <w:szCs w:val="24"/>
        </w:rPr>
        <w:tab/>
        <w:t>77</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Списано запасiв протягом поточного перiоду</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Вартiсть запасiв в заставi</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6.6. Дебi</w:t>
      </w:r>
      <w:r>
        <w:rPr>
          <w:rFonts w:ascii="Times New Roman CYR" w:hAnsi="Times New Roman CYR" w:cs="Times New Roman CYR"/>
          <w:sz w:val="24"/>
          <w:szCs w:val="24"/>
        </w:rPr>
        <w:t>торська заборгованiсть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Визнання, класифiкацiю та розкриття iнформацiї щодо дебiторської заборгованостi Товариство здiйснює вiдповiдно до МСФЗ 7 "Фiнансовi iнструменти: розкриття", МСБО 1 "Подання фiнансових звiтiв" та МСФЗ 9 "Фiнансовi iнструменти"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Операцiйна дебiторська заборгованiсть - це заборгованiсть, яка виникає в процесi страхової дiяльностi Товариства за умови пiдписання договору та внесення коштiв.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Неоперацiйна дебiторська заборгованiсть виникає вiд операцiй, не пов'язаних з операцiйною дi</w:t>
      </w:r>
      <w:r>
        <w:rPr>
          <w:rFonts w:ascii="Times New Roman CYR" w:hAnsi="Times New Roman CYR" w:cs="Times New Roman CYR"/>
          <w:sz w:val="24"/>
          <w:szCs w:val="24"/>
        </w:rPr>
        <w:t xml:space="preserve">яльнiстю Товариства.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Дебiторська заборгованiсть в балансi виглядає так: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Таб.6.6.1.(тис. 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2023 рiк</w:t>
      </w:r>
      <w:r>
        <w:rPr>
          <w:rFonts w:ascii="Times New Roman CYR" w:hAnsi="Times New Roman CYR" w:cs="Times New Roman CYR"/>
          <w:sz w:val="24"/>
          <w:szCs w:val="24"/>
        </w:rPr>
        <w:tab/>
        <w:t>2022 рiк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Дебiторська заборгованiсть за товари, роботи, послуги </w:t>
      </w:r>
      <w:r>
        <w:rPr>
          <w:rFonts w:ascii="Times New Roman CYR" w:hAnsi="Times New Roman CYR" w:cs="Times New Roman CYR"/>
          <w:sz w:val="24"/>
          <w:szCs w:val="24"/>
        </w:rPr>
        <w:tab/>
        <w:t>8,0</w:t>
      </w:r>
      <w:r>
        <w:rPr>
          <w:rFonts w:ascii="Times New Roman CYR" w:hAnsi="Times New Roman CYR" w:cs="Times New Roman CYR"/>
          <w:sz w:val="24"/>
          <w:szCs w:val="24"/>
        </w:rPr>
        <w:tab/>
        <w:t>62,0</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т.ч. за страховими послугами</w:t>
      </w:r>
      <w:r>
        <w:rPr>
          <w:rFonts w:ascii="Times New Roman CYR" w:hAnsi="Times New Roman CYR" w:cs="Times New Roman CYR"/>
          <w:sz w:val="24"/>
          <w:szCs w:val="24"/>
        </w:rPr>
        <w:tab/>
        <w:t>8,0</w:t>
      </w:r>
      <w:r>
        <w:rPr>
          <w:rFonts w:ascii="Times New Roman CYR" w:hAnsi="Times New Roman CYR" w:cs="Times New Roman CYR"/>
          <w:sz w:val="24"/>
          <w:szCs w:val="24"/>
        </w:rPr>
        <w:tab/>
        <w:t>62,0</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Дебiторська заборгованiсть за розрахунками: в т.ч.:</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виданими авансами</w:t>
      </w:r>
      <w:r>
        <w:rPr>
          <w:rFonts w:ascii="Times New Roman CYR" w:hAnsi="Times New Roman CYR" w:cs="Times New Roman CYR"/>
          <w:sz w:val="24"/>
          <w:szCs w:val="24"/>
        </w:rPr>
        <w:tab/>
        <w:t>186,0</w:t>
      </w:r>
      <w:r>
        <w:rPr>
          <w:rFonts w:ascii="Times New Roman CYR" w:hAnsi="Times New Roman CYR" w:cs="Times New Roman CYR"/>
          <w:sz w:val="24"/>
          <w:szCs w:val="24"/>
        </w:rPr>
        <w:tab/>
        <w:t>134,0</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 бюджетом</w:t>
      </w:r>
      <w:r>
        <w:rPr>
          <w:rFonts w:ascii="Times New Roman CYR" w:hAnsi="Times New Roman CYR" w:cs="Times New Roman CYR"/>
          <w:sz w:val="24"/>
          <w:szCs w:val="24"/>
        </w:rPr>
        <w:tab/>
        <w:t>186,0</w:t>
      </w:r>
      <w:r>
        <w:rPr>
          <w:rFonts w:ascii="Times New Roman CYR" w:hAnsi="Times New Roman CYR" w:cs="Times New Roman CYR"/>
          <w:sz w:val="24"/>
          <w:szCs w:val="24"/>
        </w:rPr>
        <w:tab/>
        <w:t>211,0</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тому числi з податку на прибуток</w:t>
      </w:r>
      <w:r>
        <w:rPr>
          <w:rFonts w:ascii="Times New Roman CYR" w:hAnsi="Times New Roman CYR" w:cs="Times New Roman CYR"/>
          <w:sz w:val="24"/>
          <w:szCs w:val="24"/>
        </w:rPr>
        <w:tab/>
        <w:t>186,0</w:t>
      </w:r>
      <w:r>
        <w:rPr>
          <w:rFonts w:ascii="Times New Roman CYR" w:hAnsi="Times New Roman CYR" w:cs="Times New Roman CYR"/>
          <w:sz w:val="24"/>
          <w:szCs w:val="24"/>
        </w:rPr>
        <w:tab/>
        <w:t>205,0</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Дебiторська заборгованiсть за нарах</w:t>
      </w:r>
      <w:r>
        <w:rPr>
          <w:rFonts w:ascii="Times New Roman CYR" w:hAnsi="Times New Roman CYR" w:cs="Times New Roman CYR"/>
          <w:sz w:val="24"/>
          <w:szCs w:val="24"/>
        </w:rPr>
        <w:t>ованими доходами</w:t>
      </w:r>
      <w:r>
        <w:rPr>
          <w:rFonts w:ascii="Times New Roman CYR" w:hAnsi="Times New Roman CYR" w:cs="Times New Roman CYR"/>
          <w:sz w:val="24"/>
          <w:szCs w:val="24"/>
        </w:rPr>
        <w:tab/>
        <w:t>0,0</w:t>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Дебiторська заборгованiсть iз внутрiшнiх розрахункiв</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Iнша поточна дебiторська заборгованiсть</w:t>
      </w:r>
      <w:r>
        <w:rPr>
          <w:rFonts w:ascii="Times New Roman CYR" w:hAnsi="Times New Roman CYR" w:cs="Times New Roman CYR"/>
          <w:sz w:val="24"/>
          <w:szCs w:val="24"/>
        </w:rPr>
        <w:tab/>
        <w:t>4541,0</w:t>
      </w:r>
      <w:r>
        <w:rPr>
          <w:rFonts w:ascii="Times New Roman CYR" w:hAnsi="Times New Roman CYR" w:cs="Times New Roman CYR"/>
          <w:sz w:val="24"/>
          <w:szCs w:val="24"/>
        </w:rPr>
        <w:tab/>
        <w:t>5634,0</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тому числi: невиплачена частка вiд виходу з учасникiв Товариства</w:t>
      </w:r>
      <w:r>
        <w:rPr>
          <w:rFonts w:ascii="Times New Roman CYR" w:hAnsi="Times New Roman CYR" w:cs="Times New Roman CYR"/>
          <w:sz w:val="24"/>
          <w:szCs w:val="24"/>
        </w:rPr>
        <w:tab/>
        <w:t>0</w:t>
      </w:r>
      <w:r>
        <w:rPr>
          <w:rFonts w:ascii="Times New Roman CYR" w:hAnsi="Times New Roman CYR" w:cs="Times New Roman CYR"/>
          <w:sz w:val="24"/>
          <w:szCs w:val="24"/>
        </w:rPr>
        <w:tab/>
        <w:t>0</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розрахунками з постачальниками за товари, роботи, послуги</w:t>
      </w:r>
      <w:r>
        <w:rPr>
          <w:rFonts w:ascii="Times New Roman CYR" w:hAnsi="Times New Roman CYR" w:cs="Times New Roman CYR"/>
          <w:sz w:val="24"/>
          <w:szCs w:val="24"/>
        </w:rPr>
        <w:tab/>
        <w:t>0</w:t>
      </w:r>
      <w:r>
        <w:rPr>
          <w:rFonts w:ascii="Times New Roman CYR" w:hAnsi="Times New Roman CYR" w:cs="Times New Roman CYR"/>
          <w:sz w:val="24"/>
          <w:szCs w:val="24"/>
        </w:rPr>
        <w:tab/>
        <w:t>0</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Дебiторська заборгованiсть поточна, не прострочена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 4 кварталi 2020р. на пiдставi Протоколу №2 Загальних зборiв учасникiв вiд 30.10.2020р. Компанiя вийшла зi складу учасникi</w:t>
      </w:r>
      <w:r>
        <w:rPr>
          <w:rFonts w:ascii="Times New Roman CYR" w:hAnsi="Times New Roman CYR" w:cs="Times New Roman CYR"/>
          <w:sz w:val="24"/>
          <w:szCs w:val="24"/>
        </w:rPr>
        <w:t>в ТОВ "УКАР-СЕРВIС" (ЄДРПОУ 37567871, країна реєстрацiї Україна).</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дату звiтностi невиплачена частка облiковується, як поточна дебiторська заборгованiсть  пiд яку створенi резерв очiкуваних кредитних збиткiв в розмiрi  3 734,0 тис. грн.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w:t>
      </w:r>
      <w:r>
        <w:rPr>
          <w:rFonts w:ascii="Times New Roman CYR" w:hAnsi="Times New Roman CYR" w:cs="Times New Roman CYR"/>
          <w:sz w:val="24"/>
          <w:szCs w:val="24"/>
        </w:rPr>
        <w:t>ання статтi</w:t>
      </w:r>
      <w:r>
        <w:rPr>
          <w:rFonts w:ascii="Times New Roman CYR" w:hAnsi="Times New Roman CYR" w:cs="Times New Roman CYR"/>
          <w:sz w:val="24"/>
          <w:szCs w:val="24"/>
        </w:rPr>
        <w:tab/>
        <w:t>2022 рiк</w:t>
      </w:r>
      <w:r>
        <w:rPr>
          <w:rFonts w:ascii="Times New Roman CYR" w:hAnsi="Times New Roman CYR" w:cs="Times New Roman CYR"/>
          <w:sz w:val="24"/>
          <w:szCs w:val="24"/>
        </w:rPr>
        <w:tab/>
        <w:t>2023 рiк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Розрахунки з iншими дебiторами</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8 263,0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8263,0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Резерв сумнiвних боргiв</w:t>
      </w:r>
      <w:r>
        <w:rPr>
          <w:rFonts w:ascii="Times New Roman CYR" w:hAnsi="Times New Roman CYR" w:cs="Times New Roman CYR"/>
          <w:sz w:val="24"/>
          <w:szCs w:val="24"/>
        </w:rPr>
        <w:tab/>
        <w:t>2635,0</w:t>
      </w:r>
      <w:r>
        <w:rPr>
          <w:rFonts w:ascii="Times New Roman CYR" w:hAnsi="Times New Roman CYR" w:cs="Times New Roman CYR"/>
          <w:sz w:val="24"/>
          <w:szCs w:val="24"/>
        </w:rPr>
        <w:tab/>
        <w:t>3 734,0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Сума збиткiв визнається у прибутку чи збитку. Якщо в наступному перiодi сума збитку вiд зменшення корисностi зменшується i це з</w:t>
      </w:r>
      <w:r>
        <w:rPr>
          <w:rFonts w:ascii="Times New Roman CYR" w:hAnsi="Times New Roman CYR" w:cs="Times New Roman CYR"/>
          <w:sz w:val="24"/>
          <w:szCs w:val="24"/>
        </w:rPr>
        <w:t xml:space="preserve">меншення може бути об'єктивно пов'язаним з подiєю, яка вiдбувається пiсля визнання зменшення корисностi, то попередньо визнаний збиток вiд зменшення корисностi сторнується за рахунок коригування резерву. Сума сторнування визнається у прибутку чи збитку. У </w:t>
      </w:r>
      <w:r>
        <w:rPr>
          <w:rFonts w:ascii="Times New Roman CYR" w:hAnsi="Times New Roman CYR" w:cs="Times New Roman CYR"/>
          <w:sz w:val="24"/>
          <w:szCs w:val="24"/>
        </w:rPr>
        <w:t>разi неможливостi повернення дебiторської заборгованостi вона списується за рахунок створеного резерву сумнiвних боргiв на покриття збиткiв</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6.7.  Грошовi кошти та їх еквiваленти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Активи, що класифiкованi  Компанiєю як  грошовi кошти та їх еквiваленти, не мають обмежень у використаннi, та зберiгаються в банкiвських установах України.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Таблиця  Аналiз  якостi еквiвалентiв грошових коштiв станом на 30 червня 2023 року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Таб.6.7. (тис. </w:t>
      </w:r>
      <w:r>
        <w:rPr>
          <w:rFonts w:ascii="Times New Roman CYR" w:hAnsi="Times New Roman CYR" w:cs="Times New Roman CYR"/>
          <w:sz w:val="24"/>
          <w:szCs w:val="24"/>
        </w:rPr>
        <w:t>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2022 рiк</w:t>
      </w:r>
      <w:r>
        <w:rPr>
          <w:rFonts w:ascii="Times New Roman CYR" w:hAnsi="Times New Roman CYR" w:cs="Times New Roman CYR"/>
          <w:sz w:val="24"/>
          <w:szCs w:val="24"/>
        </w:rPr>
        <w:tab/>
        <w:t>2023 рiк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 xml:space="preserve">Готiвковi кошти в касi Компанiї </w:t>
      </w:r>
      <w:r>
        <w:rPr>
          <w:rFonts w:ascii="Times New Roman CYR" w:hAnsi="Times New Roman CYR" w:cs="Times New Roman CYR"/>
          <w:sz w:val="24"/>
          <w:szCs w:val="24"/>
        </w:rPr>
        <w:tab/>
        <w:t>9,0</w:t>
      </w:r>
      <w:r>
        <w:rPr>
          <w:rFonts w:ascii="Times New Roman CYR" w:hAnsi="Times New Roman CYR" w:cs="Times New Roman CYR"/>
          <w:sz w:val="24"/>
          <w:szCs w:val="24"/>
        </w:rPr>
        <w:tab/>
        <w:t>9,0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w:t>
      </w:r>
      <w:r>
        <w:rPr>
          <w:rFonts w:ascii="Times New Roman CYR" w:hAnsi="Times New Roman CYR" w:cs="Times New Roman CYR"/>
          <w:sz w:val="24"/>
          <w:szCs w:val="24"/>
        </w:rPr>
        <w:tab/>
        <w:t xml:space="preserve">Комерцiйнi банки iз рейтингом "iнвестицiйний" </w:t>
      </w:r>
      <w:r>
        <w:rPr>
          <w:rFonts w:ascii="Times New Roman CYR" w:hAnsi="Times New Roman CYR" w:cs="Times New Roman CYR"/>
          <w:sz w:val="24"/>
          <w:szCs w:val="24"/>
        </w:rPr>
        <w:tab/>
        <w:t>6 934,0</w:t>
      </w:r>
      <w:r>
        <w:rPr>
          <w:rFonts w:ascii="Times New Roman CYR" w:hAnsi="Times New Roman CYR" w:cs="Times New Roman CYR"/>
          <w:sz w:val="24"/>
          <w:szCs w:val="24"/>
        </w:rPr>
        <w:tab/>
        <w:t>8 080,0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w:t>
      </w:r>
      <w:r>
        <w:rPr>
          <w:rFonts w:ascii="Times New Roman CYR" w:hAnsi="Times New Roman CYR" w:cs="Times New Roman CYR"/>
          <w:sz w:val="24"/>
          <w:szCs w:val="24"/>
        </w:rPr>
        <w:tab/>
        <w:t>З рейтингом нижче iнвестицiйного</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Усього еквiвалентiв грошових коштiв  </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6 943,0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8 080,0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Компанiя зберiгає кошти в банкiвських установах якi мають рейтинг не нижче iнвестицiйного, а саме:</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АТ Сенс Банк  (ЄДРПОУ 23494714) - uaAAA</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АТ "Iдея Банк"  (ЄДРПОУ 19390819)  - uaAA</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Кредит Днiпро Банк АТ  (ЄДРПОУ 14352406) - uaAA</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АТ КБ "ПриватБанк" (ЄДРПОУ 14360570)  - uaAA</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АТ Унiверсалбанк  (ЄДРПОУ 21133352) - uaAAA</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АТ Укргазбанк (ЄДРПОУ 23697280) - uaAA+</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6.8.  Статутний капiтал та емiсiйнi рiзницi (емiсiйний дохiд), змiни у власному капiталi.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Таб.6.8. (тис. 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w:t>
      </w:r>
      <w:r>
        <w:rPr>
          <w:rFonts w:ascii="Times New Roman CYR" w:hAnsi="Times New Roman CYR" w:cs="Times New Roman CYR"/>
          <w:sz w:val="24"/>
          <w:szCs w:val="24"/>
        </w:rPr>
        <w:t>ок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Найменування статтi</w:t>
      </w:r>
      <w:r>
        <w:rPr>
          <w:rFonts w:ascii="Times New Roman CYR" w:hAnsi="Times New Roman CYR" w:cs="Times New Roman CYR"/>
          <w:sz w:val="24"/>
          <w:szCs w:val="24"/>
        </w:rPr>
        <w:tab/>
        <w:t>Кiльк-ть акцiй в обiгу (тис. шт.)</w:t>
      </w:r>
      <w:r>
        <w:rPr>
          <w:rFonts w:ascii="Times New Roman CYR" w:hAnsi="Times New Roman CYR" w:cs="Times New Roman CYR"/>
          <w:sz w:val="24"/>
          <w:szCs w:val="24"/>
        </w:rPr>
        <w:tab/>
        <w:t>Простi акцiї</w:t>
      </w:r>
      <w:r>
        <w:rPr>
          <w:rFonts w:ascii="Times New Roman CYR" w:hAnsi="Times New Roman CYR" w:cs="Times New Roman CYR"/>
          <w:sz w:val="24"/>
          <w:szCs w:val="24"/>
        </w:rPr>
        <w:tab/>
        <w:t>Вартiсть акцiй</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r>
        <w:rPr>
          <w:rFonts w:ascii="Times New Roman CYR" w:hAnsi="Times New Roman CYR" w:cs="Times New Roman CYR"/>
          <w:sz w:val="24"/>
          <w:szCs w:val="24"/>
        </w:rPr>
        <w:tab/>
        <w:t>5</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Залишок на 1 сiчня 2023 року</w:t>
      </w:r>
      <w:r>
        <w:rPr>
          <w:rFonts w:ascii="Times New Roman CYR" w:hAnsi="Times New Roman CYR" w:cs="Times New Roman CYR"/>
          <w:sz w:val="24"/>
          <w:szCs w:val="24"/>
        </w:rPr>
        <w:tab/>
        <w:t>1652,4</w:t>
      </w:r>
      <w:r>
        <w:rPr>
          <w:rFonts w:ascii="Times New Roman CYR" w:hAnsi="Times New Roman CYR" w:cs="Times New Roman CYR"/>
          <w:sz w:val="24"/>
          <w:szCs w:val="24"/>
        </w:rPr>
        <w:tab/>
        <w:t>1652,4</w:t>
      </w:r>
      <w:r>
        <w:rPr>
          <w:rFonts w:ascii="Times New Roman CYR" w:hAnsi="Times New Roman CYR" w:cs="Times New Roman CYR"/>
          <w:sz w:val="24"/>
          <w:szCs w:val="24"/>
        </w:rPr>
        <w:tab/>
        <w:t>16524,4</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 xml:space="preserve">Внески за акцiями (паями, частками) нового випуску </w:t>
      </w:r>
      <w:r>
        <w:rPr>
          <w:rFonts w:ascii="Times New Roman CYR" w:hAnsi="Times New Roman CYR" w:cs="Times New Roman CYR"/>
          <w:sz w:val="24"/>
          <w:szCs w:val="24"/>
        </w:rPr>
        <w:tab/>
        <w:t>-</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Залишок на кiнець дня 30 червня  2023 року</w:t>
      </w:r>
      <w:r>
        <w:rPr>
          <w:rFonts w:ascii="Times New Roman CYR" w:hAnsi="Times New Roman CYR" w:cs="Times New Roman CYR"/>
          <w:sz w:val="24"/>
          <w:szCs w:val="24"/>
        </w:rPr>
        <w:tab/>
        <w:t>1652,4</w:t>
      </w:r>
      <w:r>
        <w:rPr>
          <w:rFonts w:ascii="Times New Roman CYR" w:hAnsi="Times New Roman CYR" w:cs="Times New Roman CYR"/>
          <w:sz w:val="24"/>
          <w:szCs w:val="24"/>
        </w:rPr>
        <w:tab/>
        <w:t>1652,4</w:t>
      </w:r>
      <w:r>
        <w:rPr>
          <w:rFonts w:ascii="Times New Roman CYR" w:hAnsi="Times New Roman CYR" w:cs="Times New Roman CYR"/>
          <w:sz w:val="24"/>
          <w:szCs w:val="24"/>
        </w:rPr>
        <w:tab/>
        <w:t>16524,4</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Всi акцiї є простими, надають акцiонерам наступнi права:</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брати участь в управлiннi справами страхової компанiї в порядку, визначеному чинним законодавством України та Статутом;</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брати участь у розподiлi прибутку страхової компанiї та одержувати дивiденди вiдповiдно до рiшень Загальних зборiв акцiонерiв;</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отримувати iнформацiю про дiяльнiсть страхової компанiї в обсягах, визначеному чинним законодавством України;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вiдчужувати</w:t>
      </w:r>
      <w:r>
        <w:rPr>
          <w:rFonts w:ascii="Times New Roman CYR" w:hAnsi="Times New Roman CYR" w:cs="Times New Roman CYR"/>
          <w:sz w:val="24"/>
          <w:szCs w:val="24"/>
        </w:rPr>
        <w:t xml:space="preserve"> акцiї страхової компанiї в порядку, визначеному цим Статутом та чинним законодавством України;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iншi права згiдно з Статутом та чинним законодавством України.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Привiлеї та обмеження для певних груп акцiонерiв вiдсутнi.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30.06 .2023р. акцiї ПрА</w:t>
      </w:r>
      <w:r>
        <w:rPr>
          <w:rFonts w:ascii="Times New Roman CYR" w:hAnsi="Times New Roman CYR" w:cs="Times New Roman CYR"/>
          <w:sz w:val="24"/>
          <w:szCs w:val="24"/>
        </w:rPr>
        <w:t>Т "СК "САТIС" належать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Таб.6.8.1. тис. 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Назва/П.I.Б. власника цiнних паперiв</w:t>
      </w:r>
      <w:r>
        <w:rPr>
          <w:rFonts w:ascii="Times New Roman CYR" w:hAnsi="Times New Roman CYR" w:cs="Times New Roman CYR"/>
          <w:sz w:val="24"/>
          <w:szCs w:val="24"/>
        </w:rPr>
        <w:tab/>
        <w:t>Загальна кiлькiсть ЦП</w:t>
      </w:r>
      <w:r>
        <w:rPr>
          <w:rFonts w:ascii="Times New Roman CYR" w:hAnsi="Times New Roman CYR" w:cs="Times New Roman CYR"/>
          <w:sz w:val="24"/>
          <w:szCs w:val="24"/>
        </w:rPr>
        <w:tab/>
        <w:t>Загальна номiнальна вартiсть ЦП</w:t>
      </w:r>
      <w:r>
        <w:rPr>
          <w:rFonts w:ascii="Times New Roman CYR" w:hAnsi="Times New Roman CYR" w:cs="Times New Roman CYR"/>
          <w:sz w:val="24"/>
          <w:szCs w:val="24"/>
        </w:rPr>
        <w:tab/>
        <w:t>Вiдсоток у СК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r>
        <w:rPr>
          <w:rFonts w:ascii="Times New Roman CYR" w:hAnsi="Times New Roman CYR" w:cs="Times New Roman CYR"/>
          <w:sz w:val="24"/>
          <w:szCs w:val="24"/>
        </w:rPr>
        <w:tab/>
        <w:t>5</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Фiзичнi особи</w:t>
      </w:r>
      <w:r>
        <w:rPr>
          <w:rFonts w:ascii="Times New Roman CYR" w:hAnsi="Times New Roman CYR" w:cs="Times New Roman CYR"/>
          <w:sz w:val="24"/>
          <w:szCs w:val="24"/>
        </w:rPr>
        <w:tab/>
        <w:t>13456,18</w:t>
      </w:r>
      <w:r>
        <w:rPr>
          <w:rFonts w:ascii="Times New Roman CYR" w:hAnsi="Times New Roman CYR" w:cs="Times New Roman CYR"/>
          <w:sz w:val="24"/>
          <w:szCs w:val="24"/>
        </w:rPr>
        <w:tab/>
        <w:t>13456,18</w:t>
      </w:r>
      <w:r>
        <w:rPr>
          <w:rFonts w:ascii="Times New Roman CYR" w:hAnsi="Times New Roman CYR" w:cs="Times New Roman CYR"/>
          <w:sz w:val="24"/>
          <w:szCs w:val="24"/>
        </w:rPr>
        <w:tab/>
        <w:t>81,432378</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АКБ "Схiдно-Європейський банк",  Україна</w:t>
      </w:r>
      <w:r>
        <w:rPr>
          <w:rFonts w:ascii="Times New Roman CYR" w:hAnsi="Times New Roman CYR" w:cs="Times New Roman CYR"/>
          <w:sz w:val="24"/>
          <w:szCs w:val="24"/>
        </w:rPr>
        <w:tab/>
        <w:t>1000,00</w:t>
      </w:r>
      <w:r>
        <w:rPr>
          <w:rFonts w:ascii="Times New Roman CYR" w:hAnsi="Times New Roman CYR" w:cs="Times New Roman CYR"/>
          <w:sz w:val="24"/>
          <w:szCs w:val="24"/>
        </w:rPr>
        <w:tab/>
        <w:t>1000,0</w:t>
      </w:r>
      <w:r>
        <w:rPr>
          <w:rFonts w:ascii="Times New Roman CYR" w:hAnsi="Times New Roman CYR" w:cs="Times New Roman CYR"/>
          <w:sz w:val="24"/>
          <w:szCs w:val="24"/>
        </w:rPr>
        <w:tab/>
        <w:t>6,051671</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ТОВ "Карбон ЛТД", Україна</w:t>
      </w:r>
      <w:r>
        <w:rPr>
          <w:rFonts w:ascii="Times New Roman CYR" w:hAnsi="Times New Roman CYR" w:cs="Times New Roman CYR"/>
          <w:sz w:val="24"/>
          <w:szCs w:val="24"/>
        </w:rPr>
        <w:tab/>
        <w:t>424,25</w:t>
      </w:r>
      <w:r>
        <w:rPr>
          <w:rFonts w:ascii="Times New Roman CYR" w:hAnsi="Times New Roman CYR" w:cs="Times New Roman CYR"/>
          <w:sz w:val="24"/>
          <w:szCs w:val="24"/>
        </w:rPr>
        <w:tab/>
        <w:t>424,25</w:t>
      </w:r>
      <w:r>
        <w:rPr>
          <w:rFonts w:ascii="Times New Roman CYR" w:hAnsi="Times New Roman CYR" w:cs="Times New Roman CYR"/>
          <w:sz w:val="24"/>
          <w:szCs w:val="24"/>
        </w:rPr>
        <w:tab/>
        <w:t>2,567421</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ПП "Фiнвест"</w:t>
      </w:r>
      <w:r>
        <w:rPr>
          <w:rFonts w:ascii="Times New Roman CYR" w:hAnsi="Times New Roman CYR" w:cs="Times New Roman CYR"/>
          <w:sz w:val="24"/>
          <w:szCs w:val="24"/>
        </w:rPr>
        <w:tab/>
        <w:t>1643,93</w:t>
      </w:r>
      <w:r>
        <w:rPr>
          <w:rFonts w:ascii="Times New Roman CYR" w:hAnsi="Times New Roman CYR" w:cs="Times New Roman CYR"/>
          <w:sz w:val="24"/>
          <w:szCs w:val="24"/>
        </w:rPr>
        <w:tab/>
        <w:t>1643,93</w:t>
      </w:r>
      <w:r>
        <w:rPr>
          <w:rFonts w:ascii="Times New Roman CYR" w:hAnsi="Times New Roman CYR" w:cs="Times New Roman CYR"/>
          <w:sz w:val="24"/>
          <w:szCs w:val="24"/>
        </w:rPr>
        <w:tab/>
        <w:t>9,948524</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Всього</w:t>
      </w:r>
      <w:r>
        <w:rPr>
          <w:rFonts w:ascii="Times New Roman CYR" w:hAnsi="Times New Roman CYR" w:cs="Times New Roman CYR"/>
          <w:sz w:val="24"/>
          <w:szCs w:val="24"/>
        </w:rPr>
        <w:tab/>
        <w:t>16524,36</w:t>
      </w:r>
      <w:r>
        <w:rPr>
          <w:rFonts w:ascii="Times New Roman CYR" w:hAnsi="Times New Roman CYR" w:cs="Times New Roman CYR"/>
          <w:sz w:val="24"/>
          <w:szCs w:val="24"/>
        </w:rPr>
        <w:tab/>
        <w:t>16524,36</w:t>
      </w:r>
      <w:r>
        <w:rPr>
          <w:rFonts w:ascii="Times New Roman CYR" w:hAnsi="Times New Roman CYR" w:cs="Times New Roman CYR"/>
          <w:sz w:val="24"/>
          <w:szCs w:val="24"/>
        </w:rPr>
        <w:tab/>
        <w:t>100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Iнформацiї щодо засновникiв, яким належить iстотна участь в Статутному капiталi    ПрАТ "СК "САТIС":</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Яхниця Олександр Iгорович - Частка в статутному капiталi - 23,494646 %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Яхниця Iрина Сергiївна - Частка в статутному капiталi - 24,234342 %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Кiнцевий бенефiцiарний власник ПрАТ "СК "САТIС" Яхниця Олександр Iгорович.</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Страхова компанiя не випускала  а</w:t>
      </w:r>
      <w:r>
        <w:rPr>
          <w:rFonts w:ascii="Times New Roman CYR" w:hAnsi="Times New Roman CYR" w:cs="Times New Roman CYR"/>
          <w:sz w:val="24"/>
          <w:szCs w:val="24"/>
        </w:rPr>
        <w:t xml:space="preserve">кцiй, призначених для випуску за умовами опцiонiв i контрактiв з продажу. </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Власний капiтал ПрАТ "СК "Сатiс" станом на 30.06.202 р. становить 71 998,0 тис.грн.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Таб.6.8.2. тис.грн.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Найменування статтi</w:t>
      </w:r>
      <w:r>
        <w:rPr>
          <w:rFonts w:ascii="Times New Roman CYR" w:hAnsi="Times New Roman CYR" w:cs="Times New Roman CYR"/>
          <w:sz w:val="24"/>
          <w:szCs w:val="24"/>
        </w:rPr>
        <w:tab/>
        <w:t>2023 рiк</w:t>
      </w:r>
      <w:r>
        <w:rPr>
          <w:rFonts w:ascii="Times New Roman CYR" w:hAnsi="Times New Roman CYR" w:cs="Times New Roman CYR"/>
          <w:sz w:val="24"/>
          <w:szCs w:val="24"/>
        </w:rPr>
        <w:tab/>
        <w:t>2022 рiк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Зареєстрований (пайовий) капiтал</w:t>
      </w:r>
      <w:r>
        <w:rPr>
          <w:rFonts w:ascii="Times New Roman CYR" w:hAnsi="Times New Roman CYR" w:cs="Times New Roman CYR"/>
          <w:sz w:val="24"/>
          <w:szCs w:val="24"/>
        </w:rPr>
        <w:tab/>
        <w:t>16 524</w:t>
      </w:r>
      <w:r>
        <w:rPr>
          <w:rFonts w:ascii="Times New Roman CYR" w:hAnsi="Times New Roman CYR" w:cs="Times New Roman CYR"/>
          <w:sz w:val="24"/>
          <w:szCs w:val="24"/>
        </w:rPr>
        <w:tab/>
        <w:t>16 524</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Внески до незареєстрованого статутного капiталу</w:t>
      </w:r>
      <w:r>
        <w:rPr>
          <w:rFonts w:ascii="Times New Roman CYR" w:hAnsi="Times New Roman CYR" w:cs="Times New Roman CYR"/>
          <w:sz w:val="24"/>
          <w:szCs w:val="24"/>
        </w:rPr>
        <w:tab/>
        <w:t>18 955</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Капiтал у дооцiнках</w:t>
      </w:r>
      <w:r>
        <w:rPr>
          <w:rFonts w:ascii="Times New Roman CYR" w:hAnsi="Times New Roman CYR" w:cs="Times New Roman CYR"/>
          <w:sz w:val="24"/>
          <w:szCs w:val="24"/>
        </w:rPr>
        <w:tab/>
        <w:t>5 265</w:t>
      </w:r>
      <w:r>
        <w:rPr>
          <w:rFonts w:ascii="Times New Roman CYR" w:hAnsi="Times New Roman CYR" w:cs="Times New Roman CYR"/>
          <w:sz w:val="24"/>
          <w:szCs w:val="24"/>
        </w:rPr>
        <w:tab/>
        <w:t>5 265</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Додатковий капiтал</w:t>
      </w:r>
      <w:r>
        <w:rPr>
          <w:rFonts w:ascii="Times New Roman CYR" w:hAnsi="Times New Roman CYR" w:cs="Times New Roman CYR"/>
          <w:sz w:val="24"/>
          <w:szCs w:val="24"/>
        </w:rPr>
        <w:tab/>
        <w:t>19 287</w:t>
      </w:r>
      <w:r>
        <w:rPr>
          <w:rFonts w:ascii="Times New Roman CYR" w:hAnsi="Times New Roman CYR" w:cs="Times New Roman CYR"/>
          <w:sz w:val="24"/>
          <w:szCs w:val="24"/>
        </w:rPr>
        <w:tab/>
        <w:t>19 287</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Резервний капiтал</w:t>
      </w:r>
      <w:r>
        <w:rPr>
          <w:rFonts w:ascii="Times New Roman CYR" w:hAnsi="Times New Roman CYR" w:cs="Times New Roman CYR"/>
          <w:sz w:val="24"/>
          <w:szCs w:val="24"/>
        </w:rPr>
        <w:tab/>
        <w:t>6 579</w:t>
      </w:r>
      <w:r>
        <w:rPr>
          <w:rFonts w:ascii="Times New Roman CYR" w:hAnsi="Times New Roman CYR" w:cs="Times New Roman CYR"/>
          <w:sz w:val="24"/>
          <w:szCs w:val="24"/>
        </w:rPr>
        <w:tab/>
        <w:t>6 579</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Нерозподiлений прибуток (непокритий збиток)</w:t>
      </w:r>
      <w:r>
        <w:rPr>
          <w:rFonts w:ascii="Times New Roman CYR" w:hAnsi="Times New Roman CYR" w:cs="Times New Roman CYR"/>
          <w:sz w:val="24"/>
          <w:szCs w:val="24"/>
        </w:rPr>
        <w:tab/>
        <w:t>5 388</w:t>
      </w:r>
      <w:r>
        <w:rPr>
          <w:rFonts w:ascii="Times New Roman CYR" w:hAnsi="Times New Roman CYR" w:cs="Times New Roman CYR"/>
          <w:sz w:val="24"/>
          <w:szCs w:val="24"/>
        </w:rPr>
        <w:tab/>
        <w:t>(50)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Усього </w:t>
      </w:r>
      <w:r>
        <w:rPr>
          <w:rFonts w:ascii="Times New Roman CYR" w:hAnsi="Times New Roman CYR" w:cs="Times New Roman CYR"/>
          <w:sz w:val="24"/>
          <w:szCs w:val="24"/>
        </w:rPr>
        <w:tab/>
        <w:t>71 998</w:t>
      </w:r>
      <w:r>
        <w:rPr>
          <w:rFonts w:ascii="Times New Roman CYR" w:hAnsi="Times New Roman CYR" w:cs="Times New Roman CYR"/>
          <w:sz w:val="24"/>
          <w:szCs w:val="24"/>
        </w:rPr>
        <w:tab/>
        <w:t>47 605</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6.9.  Довгостроковi зобов'язання i забезпечення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Облiк i визнання зобов'язань та резервiв Товариства здiйснюється вiдповiдно до МСБО 37 "Забезпе</w:t>
      </w:r>
      <w:r>
        <w:rPr>
          <w:rFonts w:ascii="Times New Roman CYR" w:hAnsi="Times New Roman CYR" w:cs="Times New Roman CYR"/>
          <w:sz w:val="24"/>
          <w:szCs w:val="24"/>
        </w:rPr>
        <w:t>чення, умовнi зобов'язання та умовнi активи".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Резерви визнаються, якщо Товариство в результатi певної подiї в минулому має юридичнi або фактичнi зобов'язання, для врегулювання яких з бiльшим ступенем iмовiрностi буде потрiбно вiдтiк ресурсiв, i якi можна </w:t>
      </w:r>
      <w:r>
        <w:rPr>
          <w:rFonts w:ascii="Times New Roman CYR" w:hAnsi="Times New Roman CYR" w:cs="Times New Roman CYR"/>
          <w:sz w:val="24"/>
          <w:szCs w:val="24"/>
        </w:rPr>
        <w:t>оцiнити з достатньою надiйнiстю.</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Страховi резерви є оцiнкою обсягу зобов'язань Товариства для здiйснення майбутнiх виплат страхового вiдшкодування за договорами страхування (перестрахування).</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Компанiєю сформовано резерв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незароблених премiй (РНП) - 20</w:t>
      </w:r>
      <w:r>
        <w:rPr>
          <w:rFonts w:ascii="Times New Roman CYR" w:hAnsi="Times New Roman CYR" w:cs="Times New Roman CYR"/>
          <w:sz w:val="24"/>
          <w:szCs w:val="24"/>
        </w:rPr>
        <w:t>29,0 тис. 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резерв заявлених, але не виплачених збиткiв - 85,0 тис.грн.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6.10. Поточнi зобов'язання i забезпечення</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Зобов'язання страхової компанiї, класифiкуються на довгостроковi (строк погашення понад 12 мiсяцiв) i поточнi (термiн погашення до 12 </w:t>
      </w:r>
      <w:r>
        <w:rPr>
          <w:rFonts w:ascii="Times New Roman CYR" w:hAnsi="Times New Roman CYR" w:cs="Times New Roman CYR"/>
          <w:sz w:val="24"/>
          <w:szCs w:val="24"/>
        </w:rPr>
        <w:t>мiсяцiв).</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Поточна кредиторська заборгованiсть вiдображена в балансi за первiсною вартiстю, яка дорiвнює справедливiй вартостi отриманих активiв або послуг.</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Поточнi зобов`язання виглядають так: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r>
      <w:r>
        <w:rPr>
          <w:rFonts w:ascii="Times New Roman CYR" w:hAnsi="Times New Roman CYR" w:cs="Times New Roman CYR"/>
          <w:sz w:val="24"/>
          <w:szCs w:val="24"/>
        </w:rPr>
        <w:tab/>
        <w:t xml:space="preserve">  Таб.6.9.1.(тис.грн.)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Найменування статтi</w:t>
      </w:r>
      <w:r>
        <w:rPr>
          <w:rFonts w:ascii="Times New Roman CYR" w:hAnsi="Times New Roman CYR" w:cs="Times New Roman CYR"/>
          <w:sz w:val="24"/>
          <w:szCs w:val="24"/>
        </w:rPr>
        <w:tab/>
        <w:t>2023 рiк</w:t>
      </w:r>
      <w:r>
        <w:rPr>
          <w:rFonts w:ascii="Times New Roman CYR" w:hAnsi="Times New Roman CYR" w:cs="Times New Roman CYR"/>
          <w:sz w:val="24"/>
          <w:szCs w:val="24"/>
        </w:rPr>
        <w:tab/>
        <w:t>2022 рiк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Поточнi зобов'язання за розрахунками:</w:t>
      </w:r>
      <w:r>
        <w:rPr>
          <w:rFonts w:ascii="Times New Roman CYR" w:hAnsi="Times New Roman CYR" w:cs="Times New Roman CYR"/>
          <w:sz w:val="24"/>
          <w:szCs w:val="24"/>
        </w:rPr>
        <w:tab/>
        <w:t xml:space="preserve"> </w:t>
      </w:r>
      <w:r>
        <w:rPr>
          <w:rFonts w:ascii="Times New Roman CYR" w:hAnsi="Times New Roman CYR" w:cs="Times New Roman CYR"/>
          <w:sz w:val="24"/>
          <w:szCs w:val="24"/>
        </w:rPr>
        <w:tab/>
        <w:t xml:space="preserve">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 бюджетом</w:t>
      </w:r>
      <w:r>
        <w:rPr>
          <w:rFonts w:ascii="Times New Roman CYR" w:hAnsi="Times New Roman CYR" w:cs="Times New Roman CYR"/>
          <w:sz w:val="24"/>
          <w:szCs w:val="24"/>
        </w:rPr>
        <w:tab/>
        <w:t>20,0</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у тому числi з податку на прибуток</w:t>
      </w:r>
      <w:r>
        <w:rPr>
          <w:rFonts w:ascii="Times New Roman CYR" w:hAnsi="Times New Roman CYR" w:cs="Times New Roman CYR"/>
          <w:sz w:val="24"/>
          <w:szCs w:val="24"/>
        </w:rPr>
        <w:tab/>
        <w:t>8,0</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 оплата працi</w:t>
      </w:r>
      <w:r>
        <w:rPr>
          <w:rFonts w:ascii="Times New Roman CYR" w:hAnsi="Times New Roman CYR" w:cs="Times New Roman CYR"/>
          <w:sz w:val="24"/>
          <w:szCs w:val="24"/>
        </w:rPr>
        <w:tab/>
        <w:t>54,0</w:t>
      </w:r>
      <w:r>
        <w:rPr>
          <w:rFonts w:ascii="Times New Roman CYR" w:hAnsi="Times New Roman CYR" w:cs="Times New Roman CYR"/>
          <w:sz w:val="24"/>
          <w:szCs w:val="24"/>
        </w:rPr>
        <w:tab/>
        <w:t>3,0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зi страхування</w:t>
      </w:r>
      <w:r>
        <w:rPr>
          <w:rFonts w:ascii="Times New Roman CYR" w:hAnsi="Times New Roman CYR" w:cs="Times New Roman CYR"/>
          <w:sz w:val="24"/>
          <w:szCs w:val="24"/>
        </w:rPr>
        <w:tab/>
        <w:t>10,0</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 учасниками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Поточна кредиторська заборгованiсть з</w:t>
      </w:r>
      <w:r>
        <w:rPr>
          <w:rFonts w:ascii="Times New Roman CYR" w:hAnsi="Times New Roman CYR" w:cs="Times New Roman CYR"/>
          <w:sz w:val="24"/>
          <w:szCs w:val="24"/>
        </w:rPr>
        <w:t>а одержаними авансами</w:t>
      </w:r>
      <w:r>
        <w:rPr>
          <w:rFonts w:ascii="Times New Roman CYR" w:hAnsi="Times New Roman CYR" w:cs="Times New Roman CYR"/>
          <w:sz w:val="24"/>
          <w:szCs w:val="24"/>
        </w:rPr>
        <w:tab/>
        <w:t>17,0</w:t>
      </w:r>
      <w:r>
        <w:rPr>
          <w:rFonts w:ascii="Times New Roman CYR" w:hAnsi="Times New Roman CYR" w:cs="Times New Roman CYR"/>
          <w:sz w:val="24"/>
          <w:szCs w:val="24"/>
        </w:rPr>
        <w:tab/>
        <w:t>431</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Поточна кредиторська заборгованiсть за страховою дiяльнiстю</w:t>
      </w:r>
      <w:r>
        <w:rPr>
          <w:rFonts w:ascii="Times New Roman CYR" w:hAnsi="Times New Roman CYR" w:cs="Times New Roman CYR"/>
          <w:sz w:val="24"/>
          <w:szCs w:val="24"/>
        </w:rPr>
        <w:tab/>
        <w:t>-</w:t>
      </w:r>
      <w:r>
        <w:rPr>
          <w:rFonts w:ascii="Times New Roman CYR" w:hAnsi="Times New Roman CYR" w:cs="Times New Roman CYR"/>
          <w:sz w:val="24"/>
          <w:szCs w:val="24"/>
        </w:rPr>
        <w:tab/>
        <w:t>16,0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тому числi:</w:t>
      </w:r>
      <w:r>
        <w:rPr>
          <w:rFonts w:ascii="Times New Roman CYR" w:hAnsi="Times New Roman CYR" w:cs="Times New Roman CYR"/>
          <w:sz w:val="24"/>
          <w:szCs w:val="24"/>
        </w:rPr>
        <w:tab/>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зi состраховиками  та страховиками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 перестраховиками</w:t>
      </w:r>
      <w:r>
        <w:rPr>
          <w:rFonts w:ascii="Times New Roman CYR" w:hAnsi="Times New Roman CYR" w:cs="Times New Roman CYR"/>
          <w:sz w:val="24"/>
          <w:szCs w:val="24"/>
        </w:rPr>
        <w:tab/>
        <w:t>-</w:t>
      </w:r>
      <w:r>
        <w:rPr>
          <w:rFonts w:ascii="Times New Roman CYR" w:hAnsi="Times New Roman CYR" w:cs="Times New Roman CYR"/>
          <w:sz w:val="24"/>
          <w:szCs w:val="24"/>
        </w:rPr>
        <w:tab/>
        <w:t>16,0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зi страховими агентами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Кредиторська заборгованiсть за товари, роботи, послуги</w:t>
      </w:r>
      <w:r>
        <w:rPr>
          <w:rFonts w:ascii="Times New Roman CYR" w:hAnsi="Times New Roman CYR" w:cs="Times New Roman CYR"/>
          <w:sz w:val="24"/>
          <w:szCs w:val="24"/>
        </w:rPr>
        <w:tab/>
        <w:t>1045,0</w:t>
      </w:r>
      <w:r>
        <w:rPr>
          <w:rFonts w:ascii="Times New Roman CYR" w:hAnsi="Times New Roman CYR" w:cs="Times New Roman CYR"/>
          <w:sz w:val="24"/>
          <w:szCs w:val="24"/>
        </w:rPr>
        <w:tab/>
        <w:t>758,0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 розрахунками з iншими кредиторами</w:t>
      </w:r>
      <w:r>
        <w:rPr>
          <w:rFonts w:ascii="Times New Roman CYR" w:hAnsi="Times New Roman CYR" w:cs="Times New Roman CYR"/>
          <w:sz w:val="24"/>
          <w:szCs w:val="24"/>
        </w:rPr>
        <w:tab/>
        <w:t xml:space="preserve">          1045,0</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758,0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орендне зобов'язання за договорами оренди нерухомостi</w:t>
      </w:r>
      <w:r>
        <w:rPr>
          <w:rFonts w:ascii="Times New Roman CYR" w:hAnsi="Times New Roman CYR" w:cs="Times New Roman CYR"/>
          <w:sz w:val="24"/>
          <w:szCs w:val="24"/>
        </w:rPr>
        <w:tab/>
        <w:t>218,0</w:t>
      </w:r>
      <w:r>
        <w:rPr>
          <w:rFonts w:ascii="Times New Roman CYR" w:hAnsi="Times New Roman CYR" w:cs="Times New Roman CYR"/>
          <w:sz w:val="24"/>
          <w:szCs w:val="24"/>
        </w:rPr>
        <w:tab/>
        <w:t>135,0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 договорами оренди обладнання</w:t>
      </w:r>
      <w:r>
        <w:rPr>
          <w:rFonts w:ascii="Times New Roman CYR" w:hAnsi="Times New Roman CYR" w:cs="Times New Roman CYR"/>
          <w:sz w:val="24"/>
          <w:szCs w:val="24"/>
        </w:rPr>
        <w:tab/>
        <w:t>114,0</w:t>
      </w:r>
      <w:r>
        <w:rPr>
          <w:rFonts w:ascii="Times New Roman CYR" w:hAnsi="Times New Roman CYR" w:cs="Times New Roman CYR"/>
          <w:sz w:val="24"/>
          <w:szCs w:val="24"/>
        </w:rPr>
        <w:tab/>
        <w:t>575,0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 о</w:t>
      </w:r>
      <w:r>
        <w:rPr>
          <w:rFonts w:ascii="Times New Roman CYR" w:hAnsi="Times New Roman CYR" w:cs="Times New Roman CYR"/>
          <w:sz w:val="24"/>
          <w:szCs w:val="24"/>
        </w:rPr>
        <w:t>сновними засобами</w:t>
      </w:r>
      <w:r>
        <w:rPr>
          <w:rFonts w:ascii="Times New Roman CYR" w:hAnsi="Times New Roman CYR" w:cs="Times New Roman CYR"/>
          <w:sz w:val="24"/>
          <w:szCs w:val="24"/>
        </w:rPr>
        <w:tab/>
        <w:t>0</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Поточнi забезпечення (резерв в якостi резерву вiдпустол)</w:t>
      </w:r>
      <w:r>
        <w:rPr>
          <w:rFonts w:ascii="Times New Roman CYR" w:hAnsi="Times New Roman CYR" w:cs="Times New Roman CYR"/>
          <w:sz w:val="24"/>
          <w:szCs w:val="24"/>
        </w:rPr>
        <w:tab/>
        <w:t>282</w:t>
      </w:r>
      <w:r>
        <w:rPr>
          <w:rFonts w:ascii="Times New Roman CYR" w:hAnsi="Times New Roman CYR" w:cs="Times New Roman CYR"/>
          <w:sz w:val="24"/>
          <w:szCs w:val="24"/>
        </w:rPr>
        <w:tab/>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Iншi поточнi зобов'язання</w:t>
      </w:r>
      <w:r>
        <w:rPr>
          <w:rFonts w:ascii="Times New Roman CYR" w:hAnsi="Times New Roman CYR" w:cs="Times New Roman CYR"/>
          <w:sz w:val="24"/>
          <w:szCs w:val="24"/>
        </w:rPr>
        <w:tab/>
        <w:t>300,0</w:t>
      </w:r>
      <w:r>
        <w:rPr>
          <w:rFonts w:ascii="Times New Roman CYR" w:hAnsi="Times New Roman CYR" w:cs="Times New Roman CYR"/>
          <w:sz w:val="24"/>
          <w:szCs w:val="24"/>
        </w:rPr>
        <w:tab/>
        <w:t>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6.11. Тест на адекватнiсть зобов'язань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Вiдповiдно до вимог МСФЗ оцiнцi адекватностi страхових зобов'язань пiдлягали резерв незароблени</w:t>
      </w:r>
      <w:r>
        <w:rPr>
          <w:rFonts w:ascii="Times New Roman CYR" w:hAnsi="Times New Roman CYR" w:cs="Times New Roman CYR"/>
          <w:sz w:val="24"/>
          <w:szCs w:val="24"/>
        </w:rPr>
        <w:t xml:space="preserve">х премiй, резерв заявлених, але не виплачених збиткiв, резерв збиткiв, якi виникли, але не заявленi.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Результат тесту адекватностi  сформованих резервiв  незароблених премiй засвiдчує, що сформованi  резерви цiлком достатнi  для покриття збиткiв за догово</w:t>
      </w:r>
      <w:r>
        <w:rPr>
          <w:rFonts w:ascii="Times New Roman CYR" w:hAnsi="Times New Roman CYR" w:cs="Times New Roman CYR"/>
          <w:sz w:val="24"/>
          <w:szCs w:val="24"/>
        </w:rPr>
        <w:t>рами, що дiють на 30.06.2023 року.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Розмiр сформованих страхових резервiв та розмiр страхових резервiв з урахуванням тесту адекватностi зобов'язань наведено у наступнiй таблицi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Таб.6.1 (тис. 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Назва резерву</w:t>
      </w:r>
      <w:r>
        <w:rPr>
          <w:rFonts w:ascii="Times New Roman CYR" w:hAnsi="Times New Roman CYR" w:cs="Times New Roman CYR"/>
          <w:sz w:val="24"/>
          <w:szCs w:val="24"/>
        </w:rPr>
        <w:tab/>
        <w:t xml:space="preserve">Сформовано Товариством станом на 31.12.2022 року </w:t>
      </w:r>
      <w:r>
        <w:rPr>
          <w:rFonts w:ascii="Times New Roman CYR" w:hAnsi="Times New Roman CYR" w:cs="Times New Roman CYR"/>
          <w:sz w:val="24"/>
          <w:szCs w:val="24"/>
        </w:rPr>
        <w:tab/>
        <w:t>Розмiр з урахуванням тесту адекватностi зобов'язань станом на 30.06.2023 року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Резерв незароблених премiй</w:t>
      </w:r>
      <w:r>
        <w:rPr>
          <w:rFonts w:ascii="Times New Roman CYR" w:hAnsi="Times New Roman CYR" w:cs="Times New Roman CYR"/>
          <w:sz w:val="24"/>
          <w:szCs w:val="24"/>
        </w:rPr>
        <w:tab/>
        <w:t>1300,0</w:t>
      </w:r>
      <w:r>
        <w:rPr>
          <w:rFonts w:ascii="Times New Roman CYR" w:hAnsi="Times New Roman CYR" w:cs="Times New Roman CYR"/>
          <w:sz w:val="24"/>
          <w:szCs w:val="24"/>
        </w:rPr>
        <w:tab/>
        <w:t>2 029,0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r>
      <w:r>
        <w:rPr>
          <w:rFonts w:ascii="Times New Roman CYR" w:hAnsi="Times New Roman CYR" w:cs="Times New Roman CYR"/>
          <w:sz w:val="24"/>
          <w:szCs w:val="24"/>
        </w:rPr>
        <w:tab/>
        <w:t>Резерв збиткiв, що заявленi, але не виплаченi</w:t>
      </w:r>
      <w:r>
        <w:rPr>
          <w:rFonts w:ascii="Times New Roman CYR" w:hAnsi="Times New Roman CYR" w:cs="Times New Roman CYR"/>
          <w:sz w:val="24"/>
          <w:szCs w:val="24"/>
        </w:rPr>
        <w:tab/>
        <w:t>-</w:t>
      </w:r>
      <w:r>
        <w:rPr>
          <w:rFonts w:ascii="Times New Roman CYR" w:hAnsi="Times New Roman CYR" w:cs="Times New Roman CYR"/>
          <w:sz w:val="24"/>
          <w:szCs w:val="24"/>
        </w:rPr>
        <w:tab/>
        <w:t>85,0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Всь</w:t>
      </w:r>
      <w:r>
        <w:rPr>
          <w:rFonts w:ascii="Times New Roman CYR" w:hAnsi="Times New Roman CYR" w:cs="Times New Roman CYR"/>
          <w:sz w:val="24"/>
          <w:szCs w:val="24"/>
        </w:rPr>
        <w:t>ого</w:t>
      </w:r>
      <w:r>
        <w:rPr>
          <w:rFonts w:ascii="Times New Roman CYR" w:hAnsi="Times New Roman CYR" w:cs="Times New Roman CYR"/>
          <w:sz w:val="24"/>
          <w:szCs w:val="24"/>
        </w:rPr>
        <w:tab/>
        <w:t>1300,0</w:t>
      </w:r>
      <w:r>
        <w:rPr>
          <w:rFonts w:ascii="Times New Roman CYR" w:hAnsi="Times New Roman CYR" w:cs="Times New Roman CYR"/>
          <w:sz w:val="24"/>
          <w:szCs w:val="24"/>
        </w:rPr>
        <w:tab/>
        <w:t>2 114,0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Актуарiй Борець Владислав Анатолiйович - Свiдоцтво  про вiдповiднiсть квалiфiкацiйним вимогам до осiб, якi можуть займатися актуарними розрахунками №01-32 вiд 15.05.2018р.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Згiдно Звiту Активи Страховика є достатнiми для виконання пото</w:t>
      </w:r>
      <w:r>
        <w:rPr>
          <w:rFonts w:ascii="Times New Roman CYR" w:hAnsi="Times New Roman CYR" w:cs="Times New Roman CYR"/>
          <w:sz w:val="24"/>
          <w:szCs w:val="24"/>
        </w:rPr>
        <w:t xml:space="preserve">чних та потенцiйних зобов'язань перед страхувальниками як в довгостроковому, так й в короткостроковому перiодi.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6.12.  Потенцiйнi зобов'язання Страхової  компанiї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 Розгляд справ у судi.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кiнець звiтного перiоду страхова компанiя, головни</w:t>
      </w:r>
      <w:r>
        <w:rPr>
          <w:rFonts w:ascii="Times New Roman CYR" w:hAnsi="Times New Roman CYR" w:cs="Times New Roman CYR"/>
          <w:sz w:val="24"/>
          <w:szCs w:val="24"/>
        </w:rPr>
        <w:t>м чином, виступає у судових процесах у якостi позивача до третiх осiб по регресивним вимогам.  Розгляд даної категорiї справ може передбачати лише отримання  Страховою компанiєю доходiв у майбутньому в разi винесення позитивного рiшення суду та наявностi к</w:t>
      </w:r>
      <w:r>
        <w:rPr>
          <w:rFonts w:ascii="Times New Roman CYR" w:hAnsi="Times New Roman CYR" w:cs="Times New Roman CYR"/>
          <w:sz w:val="24"/>
          <w:szCs w:val="24"/>
        </w:rPr>
        <w:t xml:space="preserve">оштiв (майна) боржника для погашення суми боргу в межах процедури виконавчого провадження,  потенцiйних зобов'язань за даною категорiєю справ немає.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Тим не менш час вiд часу та в зв'язку iз звичайним веденням бiзнесу  страхова компанiя може бути притягнута до суду в якостi вiдповiдача. Вiдповiдно до власних оцiнок та внутрiшнiх професiйних консультацiй керiвництво Страхової компанiї вважає, що не має п</w:t>
      </w:r>
      <w:r>
        <w:rPr>
          <w:rFonts w:ascii="Times New Roman CYR" w:hAnsi="Times New Roman CYR" w:cs="Times New Roman CYR"/>
          <w:sz w:val="24"/>
          <w:szCs w:val="24"/>
        </w:rPr>
        <w:t>iдстав очiкувати суттєвих збиткiв в зв'язку iз такими справами та вiдповiдно вiдсутня необхiднiсть в формуваннi резервiв у фiнансовiй звiтностi.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 Можливiсть виникнення потенцiйних податкових зобов'язань.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Податковi перiоди залишаються вiдкритими для пер</w:t>
      </w:r>
      <w:r>
        <w:rPr>
          <w:rFonts w:ascii="Times New Roman CYR" w:hAnsi="Times New Roman CYR" w:cs="Times New Roman CYR"/>
          <w:sz w:val="24"/>
          <w:szCs w:val="24"/>
        </w:rPr>
        <w:t>евiрки контролюючими органами щодо нарахованих податкiв протягом трьох рокiв з дати узгодження податкового зобов'язання (граничного термiну для подання податкової декларацiї або подання уточнюючої декларацiї). За певних обставин перевiрки можуть здiйснюват</w:t>
      </w:r>
      <w:r>
        <w:rPr>
          <w:rFonts w:ascii="Times New Roman CYR" w:hAnsi="Times New Roman CYR" w:cs="Times New Roman CYR"/>
          <w:sz w:val="24"/>
          <w:szCs w:val="24"/>
        </w:rPr>
        <w:t>ися  i щодо бiльших перiодiв,</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31 березня 2023 року не iснує iнших непередбачених зобов'язань, що пов'язанi з виникненням податкових зобов'язань. Товариство своєчасно складає i подає податкову звiтнiсть та сплачує вiдповiднi податки та збори до б</w:t>
      </w:r>
      <w:r>
        <w:rPr>
          <w:rFonts w:ascii="Times New Roman CYR" w:hAnsi="Times New Roman CYR" w:cs="Times New Roman CYR"/>
          <w:sz w:val="24"/>
          <w:szCs w:val="24"/>
        </w:rPr>
        <w:t>юджету та позабюджетних фондiв.           в) Дотримання особливих вимог.</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Договори, укладенi Товариством, не мiстять особливих вимог щодо дотримання певних умов.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6.13. Доход  вiд страхових премiй</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 xml:space="preserve">                                Таб.6.13 тис.грн.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Найменування статтi</w:t>
      </w:r>
      <w:r>
        <w:rPr>
          <w:rFonts w:ascii="Times New Roman CYR" w:hAnsi="Times New Roman CYR" w:cs="Times New Roman CYR"/>
          <w:sz w:val="24"/>
          <w:szCs w:val="24"/>
        </w:rPr>
        <w:tab/>
        <w:t>Звiтнiй перiод 2022рiк</w:t>
      </w:r>
      <w:r>
        <w:rPr>
          <w:rFonts w:ascii="Times New Roman CYR" w:hAnsi="Times New Roman CYR" w:cs="Times New Roman CYR"/>
          <w:sz w:val="24"/>
          <w:szCs w:val="24"/>
        </w:rPr>
        <w:tab/>
        <w:t>Звiтнiй перiод 2023 рiк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Медичне страхування (безперервне страхування здоров''я)</w:t>
      </w:r>
      <w:r>
        <w:rPr>
          <w:rFonts w:ascii="Times New Roman CYR" w:hAnsi="Times New Roman CYR" w:cs="Times New Roman CYR"/>
          <w:sz w:val="24"/>
          <w:szCs w:val="24"/>
        </w:rPr>
        <w:tab/>
        <w:t>3 789,0</w:t>
      </w:r>
      <w:r>
        <w:rPr>
          <w:rFonts w:ascii="Times New Roman CYR" w:hAnsi="Times New Roman CYR" w:cs="Times New Roman CYR"/>
          <w:sz w:val="24"/>
          <w:szCs w:val="24"/>
        </w:rPr>
        <w:tab/>
        <w:t>12 712,0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Медичнi витрати</w:t>
      </w:r>
      <w:r>
        <w:rPr>
          <w:rFonts w:ascii="Times New Roman CYR" w:hAnsi="Times New Roman CYR" w:cs="Times New Roman CYR"/>
          <w:sz w:val="24"/>
          <w:szCs w:val="24"/>
        </w:rPr>
        <w:tab/>
        <w:t>-</w:t>
      </w:r>
      <w:r>
        <w:rPr>
          <w:rFonts w:ascii="Times New Roman CYR" w:hAnsi="Times New Roman CYR" w:cs="Times New Roman CYR"/>
          <w:sz w:val="24"/>
          <w:szCs w:val="24"/>
        </w:rPr>
        <w:tab/>
        <w:t>4,0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 вантажiв та багажу</w:t>
      </w:r>
      <w:r>
        <w:rPr>
          <w:rFonts w:ascii="Times New Roman CYR" w:hAnsi="Times New Roman CYR" w:cs="Times New Roman CYR"/>
          <w:sz w:val="24"/>
          <w:szCs w:val="24"/>
        </w:rPr>
        <w:tab/>
        <w:t>9,0</w:t>
      </w:r>
      <w:r>
        <w:rPr>
          <w:rFonts w:ascii="Times New Roman CYR" w:hAnsi="Times New Roman CYR" w:cs="Times New Roman CYR"/>
          <w:sz w:val="24"/>
          <w:szCs w:val="24"/>
        </w:rPr>
        <w:tab/>
        <w:t>27,0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 вiд вогневих ризикiв та ризикiв стихiйних явищ</w:t>
      </w:r>
      <w:r>
        <w:rPr>
          <w:rFonts w:ascii="Times New Roman CYR" w:hAnsi="Times New Roman CYR" w:cs="Times New Roman CYR"/>
          <w:sz w:val="24"/>
          <w:szCs w:val="24"/>
        </w:rPr>
        <w:tab/>
        <w:t>186,0</w:t>
      </w:r>
      <w:r>
        <w:rPr>
          <w:rFonts w:ascii="Times New Roman CYR" w:hAnsi="Times New Roman CYR" w:cs="Times New Roman CYR"/>
          <w:sz w:val="24"/>
          <w:szCs w:val="24"/>
        </w:rPr>
        <w:tab/>
        <w:t>368,0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 вiд нещасних випадкiв</w:t>
      </w:r>
      <w:r>
        <w:rPr>
          <w:rFonts w:ascii="Times New Roman CYR" w:hAnsi="Times New Roman CYR" w:cs="Times New Roman CYR"/>
          <w:sz w:val="24"/>
          <w:szCs w:val="24"/>
        </w:rPr>
        <w:tab/>
        <w:t>-</w:t>
      </w:r>
      <w:r>
        <w:rPr>
          <w:rFonts w:ascii="Times New Roman CYR" w:hAnsi="Times New Roman CYR" w:cs="Times New Roman CYR"/>
          <w:sz w:val="24"/>
          <w:szCs w:val="24"/>
        </w:rPr>
        <w:tab/>
        <w:t>2,0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 здоров"я на випадок хвороби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 майна</w:t>
      </w:r>
      <w:r>
        <w:rPr>
          <w:rFonts w:ascii="Times New Roman CYR" w:hAnsi="Times New Roman CYR" w:cs="Times New Roman CYR"/>
          <w:sz w:val="24"/>
          <w:szCs w:val="24"/>
        </w:rPr>
        <w:tab/>
        <w:t>46,0</w:t>
      </w:r>
      <w:r>
        <w:rPr>
          <w:rFonts w:ascii="Times New Roman CYR" w:hAnsi="Times New Roman CYR" w:cs="Times New Roman CYR"/>
          <w:sz w:val="24"/>
          <w:szCs w:val="24"/>
        </w:rPr>
        <w:tab/>
        <w:t>91,0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 наземного транспорту, крiм залiзничного</w:t>
      </w:r>
      <w:r>
        <w:rPr>
          <w:rFonts w:ascii="Times New Roman CYR" w:hAnsi="Times New Roman CYR" w:cs="Times New Roman CYR"/>
          <w:sz w:val="24"/>
          <w:szCs w:val="24"/>
        </w:rPr>
        <w:tab/>
        <w:t>136,0</w:t>
      </w:r>
      <w:r>
        <w:rPr>
          <w:rFonts w:ascii="Times New Roman CYR" w:hAnsi="Times New Roman CYR" w:cs="Times New Roman CYR"/>
          <w:sz w:val="24"/>
          <w:szCs w:val="24"/>
        </w:rPr>
        <w:tab/>
        <w:t>68,0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 фiнансових ризикiв</w:t>
      </w:r>
      <w:r>
        <w:rPr>
          <w:rFonts w:ascii="Times New Roman CYR" w:hAnsi="Times New Roman CYR" w:cs="Times New Roman CYR"/>
          <w:sz w:val="24"/>
          <w:szCs w:val="24"/>
        </w:rPr>
        <w:tab/>
        <w:t>-</w:t>
      </w:r>
      <w:r>
        <w:rPr>
          <w:rFonts w:ascii="Times New Roman CYR" w:hAnsi="Times New Roman CYR" w:cs="Times New Roman CYR"/>
          <w:sz w:val="24"/>
          <w:szCs w:val="24"/>
        </w:rPr>
        <w:tab/>
        <w:t>27,0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Страхування ЦВ перед третiми особами</w:t>
      </w:r>
      <w:r>
        <w:rPr>
          <w:rFonts w:ascii="Times New Roman CYR" w:hAnsi="Times New Roman CYR" w:cs="Times New Roman CYR"/>
          <w:sz w:val="24"/>
          <w:szCs w:val="24"/>
        </w:rPr>
        <w:tab/>
        <w:t>58,0</w:t>
      </w:r>
      <w:r>
        <w:rPr>
          <w:rFonts w:ascii="Times New Roman CYR" w:hAnsi="Times New Roman CYR" w:cs="Times New Roman CYR"/>
          <w:sz w:val="24"/>
          <w:szCs w:val="24"/>
        </w:rPr>
        <w:tab/>
        <w:t>135,0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Разом</w:t>
      </w:r>
      <w:r>
        <w:rPr>
          <w:rFonts w:ascii="Times New Roman CYR" w:hAnsi="Times New Roman CYR" w:cs="Times New Roman CYR"/>
          <w:sz w:val="24"/>
          <w:szCs w:val="24"/>
        </w:rPr>
        <w:tab/>
        <w:t>4 224,0</w:t>
      </w:r>
      <w:r>
        <w:rPr>
          <w:rFonts w:ascii="Times New Roman CYR" w:hAnsi="Times New Roman CYR" w:cs="Times New Roman CYR"/>
          <w:sz w:val="24"/>
          <w:szCs w:val="24"/>
        </w:rPr>
        <w:tab/>
        <w:t>13 434,0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6.14.  Iншi операцiйнi доходи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Таб.6.14 тис.грн.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Звiтнiй перiод 2022рiк</w:t>
      </w:r>
      <w:r>
        <w:rPr>
          <w:rFonts w:ascii="Times New Roman CYR" w:hAnsi="Times New Roman CYR" w:cs="Times New Roman CYR"/>
          <w:sz w:val="24"/>
          <w:szCs w:val="24"/>
        </w:rPr>
        <w:tab/>
        <w:t>Звiтнiй перiод 2023 рiк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Дохiд вiд надання послуг для iнших страховикiв та iнших послуг (виконання робiт)</w:t>
      </w:r>
      <w:r>
        <w:rPr>
          <w:rFonts w:ascii="Times New Roman CYR" w:hAnsi="Times New Roman CYR" w:cs="Times New Roman CYR"/>
          <w:sz w:val="24"/>
          <w:szCs w:val="24"/>
        </w:rPr>
        <w:tab/>
        <w:t>-</w:t>
      </w:r>
      <w:r>
        <w:rPr>
          <w:rFonts w:ascii="Times New Roman CYR" w:hAnsi="Times New Roman CYR" w:cs="Times New Roman CYR"/>
          <w:sz w:val="24"/>
          <w:szCs w:val="24"/>
        </w:rPr>
        <w:tab/>
        <w:t>3,0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Суми, що повертаються iз технiчних резервiв, iнших, нiж резерви незароблених премiй, т</w:t>
      </w:r>
      <w:r>
        <w:rPr>
          <w:rFonts w:ascii="Times New Roman CYR" w:hAnsi="Times New Roman CYR" w:cs="Times New Roman CYR"/>
          <w:sz w:val="24"/>
          <w:szCs w:val="24"/>
        </w:rPr>
        <w:t>а iнших резервiв (крiм резервiв iз страхування життя)</w:t>
      </w:r>
      <w:r>
        <w:rPr>
          <w:rFonts w:ascii="Times New Roman CYR" w:hAnsi="Times New Roman CYR" w:cs="Times New Roman CYR"/>
          <w:sz w:val="24"/>
          <w:szCs w:val="24"/>
        </w:rPr>
        <w:tab/>
        <w:t>30,0</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Частки страхових виплат i вiдшкодувань, компенсованi   перестраховиками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Частки викупних сум, що компенсуються  перестраховиками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Суми, що пове</w:t>
      </w:r>
      <w:r>
        <w:rPr>
          <w:rFonts w:ascii="Times New Roman CYR" w:hAnsi="Times New Roman CYR" w:cs="Times New Roman CYR"/>
          <w:sz w:val="24"/>
          <w:szCs w:val="24"/>
        </w:rPr>
        <w:t>ртаються iз централiзованих страхових резервних фондiв</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Суми, вiд реалiзацiї права вимоги до особи, вiдповiдальної за заподiянi збитки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Суми дооцiнки необоротних активiв</w:t>
      </w:r>
      <w:r>
        <w:rPr>
          <w:rFonts w:ascii="Times New Roman CYR" w:hAnsi="Times New Roman CYR" w:cs="Times New Roman CYR"/>
          <w:sz w:val="24"/>
          <w:szCs w:val="24"/>
        </w:rPr>
        <w:tab/>
        <w:t>7600,0</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w:t>
      </w:r>
      <w:r>
        <w:rPr>
          <w:rFonts w:ascii="Times New Roman CYR" w:hAnsi="Times New Roman CYR" w:cs="Times New Roman CYR"/>
          <w:sz w:val="24"/>
          <w:szCs w:val="24"/>
        </w:rPr>
        <w:tab/>
        <w:t>Iншi операцiйнi доходи</w:t>
      </w:r>
      <w:r>
        <w:rPr>
          <w:rFonts w:ascii="Times New Roman CYR" w:hAnsi="Times New Roman CYR" w:cs="Times New Roman CYR"/>
          <w:sz w:val="24"/>
          <w:szCs w:val="24"/>
        </w:rPr>
        <w:tab/>
        <w:t>35,0</w:t>
      </w:r>
      <w:r>
        <w:rPr>
          <w:rFonts w:ascii="Times New Roman CYR" w:hAnsi="Times New Roman CYR" w:cs="Times New Roman CYR"/>
          <w:sz w:val="24"/>
          <w:szCs w:val="24"/>
        </w:rPr>
        <w:tab/>
        <w:t>32,0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w:t>
      </w:r>
      <w:r>
        <w:rPr>
          <w:rFonts w:ascii="Times New Roman CYR" w:hAnsi="Times New Roman CYR" w:cs="Times New Roman CYR"/>
          <w:sz w:val="24"/>
          <w:szCs w:val="24"/>
        </w:rPr>
        <w:tab/>
        <w:t>Усього iнших операцiйних до</w:t>
      </w:r>
      <w:r>
        <w:rPr>
          <w:rFonts w:ascii="Times New Roman CYR" w:hAnsi="Times New Roman CYR" w:cs="Times New Roman CYR"/>
          <w:sz w:val="24"/>
          <w:szCs w:val="24"/>
        </w:rPr>
        <w:t xml:space="preserve">ходiв </w:t>
      </w:r>
      <w:r>
        <w:rPr>
          <w:rFonts w:ascii="Times New Roman CYR" w:hAnsi="Times New Roman CYR" w:cs="Times New Roman CYR"/>
          <w:sz w:val="24"/>
          <w:szCs w:val="24"/>
        </w:rPr>
        <w:tab/>
        <w:t>7 665,0</w:t>
      </w:r>
      <w:r>
        <w:rPr>
          <w:rFonts w:ascii="Times New Roman CYR" w:hAnsi="Times New Roman CYR" w:cs="Times New Roman CYR"/>
          <w:sz w:val="24"/>
          <w:szCs w:val="24"/>
        </w:rPr>
        <w:tab/>
        <w:t>35,0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6.15.  Адмiнiстративнi, витрати на збут та iншi операцiйнi витрати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Таб.6.15. (тис. 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Звiтнiй перiод 2022рiк</w:t>
      </w:r>
      <w:r>
        <w:rPr>
          <w:rFonts w:ascii="Times New Roman CYR" w:hAnsi="Times New Roman CYR" w:cs="Times New Roman CYR"/>
          <w:sz w:val="24"/>
          <w:szCs w:val="24"/>
        </w:rPr>
        <w:tab/>
        <w:t>Звiтнiй перiод 2023 рiк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 Адмiнiстративнi витрати:</w:t>
      </w:r>
      <w:r>
        <w:rPr>
          <w:rFonts w:ascii="Times New Roman CYR" w:hAnsi="Times New Roman CYR" w:cs="Times New Roman CYR"/>
          <w:sz w:val="24"/>
          <w:szCs w:val="24"/>
        </w:rPr>
        <w:tab/>
        <w:t>(1248,0)</w:t>
      </w:r>
      <w:r>
        <w:rPr>
          <w:rFonts w:ascii="Times New Roman CYR" w:hAnsi="Times New Roman CYR" w:cs="Times New Roman CYR"/>
          <w:sz w:val="24"/>
          <w:szCs w:val="24"/>
        </w:rPr>
        <w:tab/>
        <w:t>(3 161,0)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Витрати на у</w:t>
      </w:r>
      <w:r>
        <w:rPr>
          <w:rFonts w:ascii="Times New Roman CYR" w:hAnsi="Times New Roman CYR" w:cs="Times New Roman CYR"/>
          <w:sz w:val="24"/>
          <w:szCs w:val="24"/>
        </w:rPr>
        <w:t xml:space="preserve">тримання персоналу </w:t>
      </w:r>
      <w:r>
        <w:rPr>
          <w:rFonts w:ascii="Times New Roman CYR" w:hAnsi="Times New Roman CYR" w:cs="Times New Roman CYR"/>
          <w:sz w:val="24"/>
          <w:szCs w:val="24"/>
        </w:rPr>
        <w:tab/>
        <w:t>(704,0)</w:t>
      </w:r>
      <w:r>
        <w:rPr>
          <w:rFonts w:ascii="Times New Roman CYR" w:hAnsi="Times New Roman CYR" w:cs="Times New Roman CYR"/>
          <w:sz w:val="24"/>
          <w:szCs w:val="24"/>
        </w:rPr>
        <w:tab/>
        <w:t>(746,0)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Формування резервiв пiд вiдпустки в сумi</w:t>
      </w:r>
      <w:r>
        <w:rPr>
          <w:rFonts w:ascii="Times New Roman CYR" w:hAnsi="Times New Roman CYR" w:cs="Times New Roman CYR"/>
          <w:sz w:val="24"/>
          <w:szCs w:val="24"/>
        </w:rPr>
        <w:tab/>
        <w:t>(109,0)</w:t>
      </w:r>
      <w:r>
        <w:rPr>
          <w:rFonts w:ascii="Times New Roman CYR" w:hAnsi="Times New Roman CYR" w:cs="Times New Roman CYR"/>
          <w:sz w:val="24"/>
          <w:szCs w:val="24"/>
        </w:rPr>
        <w:tab/>
        <w:t>(57,0)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Iншi адмiнiстративнi  витрати</w:t>
      </w:r>
      <w:r>
        <w:rPr>
          <w:rFonts w:ascii="Times New Roman CYR" w:hAnsi="Times New Roman CYR" w:cs="Times New Roman CYR"/>
          <w:sz w:val="24"/>
          <w:szCs w:val="24"/>
        </w:rPr>
        <w:tab/>
        <w:t>(435,0)</w:t>
      </w:r>
      <w:r>
        <w:rPr>
          <w:rFonts w:ascii="Times New Roman CYR" w:hAnsi="Times New Roman CYR" w:cs="Times New Roman CYR"/>
          <w:sz w:val="24"/>
          <w:szCs w:val="24"/>
        </w:rPr>
        <w:tab/>
        <w:t>(820,0)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Витрати на збут:</w:t>
      </w:r>
      <w:r>
        <w:rPr>
          <w:rFonts w:ascii="Times New Roman CYR" w:hAnsi="Times New Roman CYR" w:cs="Times New Roman CYR"/>
          <w:sz w:val="24"/>
          <w:szCs w:val="24"/>
        </w:rPr>
        <w:tab/>
        <w:t>(554,0)</w:t>
      </w:r>
      <w:r>
        <w:rPr>
          <w:rFonts w:ascii="Times New Roman CYR" w:hAnsi="Times New Roman CYR" w:cs="Times New Roman CYR"/>
          <w:sz w:val="24"/>
          <w:szCs w:val="24"/>
        </w:rPr>
        <w:tab/>
        <w:t>(1860,0)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 xml:space="preserve">Витрати на утримання персоналу </w:t>
      </w:r>
      <w:r>
        <w:rPr>
          <w:rFonts w:ascii="Times New Roman CYR" w:hAnsi="Times New Roman CYR" w:cs="Times New Roman CYR"/>
          <w:sz w:val="24"/>
          <w:szCs w:val="24"/>
        </w:rPr>
        <w:tab/>
        <w:t>(10,0)</w:t>
      </w:r>
      <w:r>
        <w:rPr>
          <w:rFonts w:ascii="Times New Roman CYR" w:hAnsi="Times New Roman CYR" w:cs="Times New Roman CYR"/>
          <w:sz w:val="24"/>
          <w:szCs w:val="24"/>
        </w:rPr>
        <w:tab/>
        <w:t>(37,0)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 xml:space="preserve">Амортизацiя основних засобiв </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Витрати, пов'язанi з укладанням та пролонгацiєю договорiв страхування (агентська,  брокерська, комiсiйна винагорода)</w:t>
      </w:r>
      <w:r>
        <w:rPr>
          <w:rFonts w:ascii="Times New Roman CYR" w:hAnsi="Times New Roman CYR" w:cs="Times New Roman CYR"/>
          <w:sz w:val="24"/>
          <w:szCs w:val="24"/>
        </w:rPr>
        <w:tab/>
        <w:t>(524,0)</w:t>
      </w:r>
      <w:r>
        <w:rPr>
          <w:rFonts w:ascii="Times New Roman CYR" w:hAnsi="Times New Roman CYR" w:cs="Times New Roman CYR"/>
          <w:sz w:val="24"/>
          <w:szCs w:val="24"/>
        </w:rPr>
        <w:tab/>
        <w:t>(1 811,0)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 xml:space="preserve">Витрати на маркетинг та рекламу </w:t>
      </w:r>
      <w:r>
        <w:rPr>
          <w:rFonts w:ascii="Times New Roman CYR" w:hAnsi="Times New Roman CYR" w:cs="Times New Roman CYR"/>
          <w:sz w:val="24"/>
          <w:szCs w:val="24"/>
        </w:rPr>
        <w:tab/>
        <w:t>(-)</w:t>
      </w:r>
      <w:r>
        <w:rPr>
          <w:rFonts w:ascii="Times New Roman CYR" w:hAnsi="Times New Roman CYR" w:cs="Times New Roman CYR"/>
          <w:sz w:val="24"/>
          <w:szCs w:val="24"/>
        </w:rPr>
        <w:tab/>
        <w:t>(12,0)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Iншi витрати на збут послуг</w:t>
      </w:r>
      <w:r>
        <w:rPr>
          <w:rFonts w:ascii="Times New Roman CYR" w:hAnsi="Times New Roman CYR" w:cs="Times New Roman CYR"/>
          <w:sz w:val="24"/>
          <w:szCs w:val="24"/>
        </w:rPr>
        <w:tab/>
      </w:r>
      <w:r>
        <w:rPr>
          <w:rFonts w:ascii="Times New Roman CYR" w:hAnsi="Times New Roman CYR" w:cs="Times New Roman CYR"/>
          <w:sz w:val="24"/>
          <w:szCs w:val="24"/>
        </w:rPr>
        <w:t>(20,0)</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Iншi операцiйнi витрати,у т.ч.</w:t>
      </w:r>
      <w:r>
        <w:rPr>
          <w:rFonts w:ascii="Times New Roman CYR" w:hAnsi="Times New Roman CYR" w:cs="Times New Roman CYR"/>
          <w:sz w:val="24"/>
          <w:szCs w:val="24"/>
        </w:rPr>
        <w:tab/>
        <w:t>(89,0)</w:t>
      </w:r>
      <w:r>
        <w:rPr>
          <w:rFonts w:ascii="Times New Roman CYR" w:hAnsi="Times New Roman CYR" w:cs="Times New Roman CYR"/>
          <w:sz w:val="24"/>
          <w:szCs w:val="24"/>
        </w:rPr>
        <w:tab/>
        <w:t>(3 094,0)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Суми уцiнки необоротних активiв</w:t>
      </w:r>
      <w:r>
        <w:rPr>
          <w:rFonts w:ascii="Times New Roman CYR" w:hAnsi="Times New Roman CYR" w:cs="Times New Roman CYR"/>
          <w:sz w:val="24"/>
          <w:szCs w:val="24"/>
        </w:rPr>
        <w:tab/>
        <w:t>-</w:t>
      </w:r>
      <w:r>
        <w:rPr>
          <w:rFonts w:ascii="Times New Roman CYR" w:hAnsi="Times New Roman CYR" w:cs="Times New Roman CYR"/>
          <w:sz w:val="24"/>
          <w:szCs w:val="24"/>
        </w:rPr>
        <w:tab/>
        <w:t>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Резерв очiкуваних кредитних збиткiв</w:t>
      </w:r>
      <w:r>
        <w:rPr>
          <w:rFonts w:ascii="Times New Roman CYR" w:hAnsi="Times New Roman CYR" w:cs="Times New Roman CYR"/>
          <w:sz w:val="24"/>
          <w:szCs w:val="24"/>
        </w:rPr>
        <w:tab/>
        <w:t xml:space="preserve">      (0)</w:t>
      </w:r>
      <w:r>
        <w:rPr>
          <w:rFonts w:ascii="Times New Roman CYR" w:hAnsi="Times New Roman CYR" w:cs="Times New Roman CYR"/>
          <w:sz w:val="24"/>
          <w:szCs w:val="24"/>
        </w:rPr>
        <w:tab/>
        <w:t xml:space="preserve">      (0)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Усього адмiнiстративних, збутових та iнших операцiйних витрат </w:t>
      </w:r>
      <w:r>
        <w:rPr>
          <w:rFonts w:ascii="Times New Roman CYR" w:hAnsi="Times New Roman CYR" w:cs="Times New Roman CYR"/>
          <w:sz w:val="24"/>
          <w:szCs w:val="24"/>
        </w:rPr>
        <w:tab/>
        <w:t>(1 891,0)</w:t>
      </w:r>
      <w:r>
        <w:rPr>
          <w:rFonts w:ascii="Times New Roman CYR" w:hAnsi="Times New Roman CYR" w:cs="Times New Roman CYR"/>
          <w:sz w:val="24"/>
          <w:szCs w:val="24"/>
        </w:rPr>
        <w:tab/>
        <w:t>(8 115,0)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6.16.  Фiнанс</w:t>
      </w:r>
      <w:r>
        <w:rPr>
          <w:rFonts w:ascii="Times New Roman CYR" w:hAnsi="Times New Roman CYR" w:cs="Times New Roman CYR"/>
          <w:sz w:val="24"/>
          <w:szCs w:val="24"/>
        </w:rPr>
        <w:t>овi доходи i витрати, iншi доходи та витрати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Таб.6.16. (тис. 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Звiтнiй перiод 2022рiк</w:t>
      </w:r>
      <w:r>
        <w:rPr>
          <w:rFonts w:ascii="Times New Roman CYR" w:hAnsi="Times New Roman CYR" w:cs="Times New Roman CYR"/>
          <w:sz w:val="24"/>
          <w:szCs w:val="24"/>
        </w:rPr>
        <w:tab/>
        <w:t>Звiтнiй перiод 2023 рiк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Доходи вiд депозитiв</w:t>
      </w:r>
      <w:r>
        <w:rPr>
          <w:rFonts w:ascii="Times New Roman CYR" w:hAnsi="Times New Roman CYR" w:cs="Times New Roman CYR"/>
          <w:sz w:val="24"/>
          <w:szCs w:val="24"/>
        </w:rPr>
        <w:tab/>
        <w:t>140,0</w:t>
      </w:r>
      <w:r>
        <w:rPr>
          <w:rFonts w:ascii="Times New Roman CYR" w:hAnsi="Times New Roman CYR" w:cs="Times New Roman CYR"/>
          <w:sz w:val="24"/>
          <w:szCs w:val="24"/>
        </w:rPr>
        <w:tab/>
        <w:t>338,0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Iншi фiнансовi доходи(дохiд вiд участi в капiталi)</w:t>
      </w:r>
      <w:r>
        <w:rPr>
          <w:rFonts w:ascii="Times New Roman CYR" w:hAnsi="Times New Roman CYR" w:cs="Times New Roman CYR"/>
          <w:sz w:val="24"/>
          <w:szCs w:val="24"/>
        </w:rPr>
        <w:tab/>
        <w:t>0,0</w:t>
      </w:r>
      <w:r>
        <w:rPr>
          <w:rFonts w:ascii="Times New Roman CYR" w:hAnsi="Times New Roman CYR" w:cs="Times New Roman CYR"/>
          <w:sz w:val="24"/>
          <w:szCs w:val="24"/>
        </w:rPr>
        <w:tab/>
        <w:t>0,0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Iншi доходи</w:t>
      </w:r>
      <w:r>
        <w:rPr>
          <w:rFonts w:ascii="Times New Roman CYR" w:hAnsi="Times New Roman CYR" w:cs="Times New Roman CYR"/>
          <w:sz w:val="24"/>
          <w:szCs w:val="24"/>
        </w:rPr>
        <w:tab/>
        <w:t>0</w:t>
      </w:r>
      <w:r>
        <w:rPr>
          <w:rFonts w:ascii="Times New Roman CYR" w:hAnsi="Times New Roman CYR" w:cs="Times New Roman CYR"/>
          <w:sz w:val="24"/>
          <w:szCs w:val="24"/>
        </w:rPr>
        <w:tab/>
        <w:t>8,0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Усього фiнансових та iнших доходiв</w:t>
      </w:r>
      <w:r>
        <w:rPr>
          <w:rFonts w:ascii="Times New Roman CYR" w:hAnsi="Times New Roman CYR" w:cs="Times New Roman CYR"/>
          <w:sz w:val="24"/>
          <w:szCs w:val="24"/>
        </w:rPr>
        <w:tab/>
        <w:t>140,0</w:t>
      </w:r>
      <w:r>
        <w:rPr>
          <w:rFonts w:ascii="Times New Roman CYR" w:hAnsi="Times New Roman CYR" w:cs="Times New Roman CYR"/>
          <w:sz w:val="24"/>
          <w:szCs w:val="24"/>
        </w:rPr>
        <w:tab/>
        <w:t>338,0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w:t>
      </w:r>
      <w:r>
        <w:rPr>
          <w:rFonts w:ascii="Times New Roman CYR" w:hAnsi="Times New Roman CYR" w:cs="Times New Roman CYR"/>
          <w:sz w:val="24"/>
          <w:szCs w:val="24"/>
        </w:rPr>
        <w:tab/>
        <w:t xml:space="preserve">Проценти за користування кредитами </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8</w:t>
      </w:r>
      <w:r>
        <w:rPr>
          <w:rFonts w:ascii="Times New Roman CYR" w:hAnsi="Times New Roman CYR" w:cs="Times New Roman CYR"/>
          <w:sz w:val="24"/>
          <w:szCs w:val="24"/>
        </w:rPr>
        <w:tab/>
        <w:t>Iншi фiнансовi витрати</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w:t>
      </w:r>
      <w:r>
        <w:rPr>
          <w:rFonts w:ascii="Times New Roman CYR" w:hAnsi="Times New Roman CYR" w:cs="Times New Roman CYR"/>
          <w:sz w:val="24"/>
          <w:szCs w:val="24"/>
        </w:rPr>
        <w:tab/>
        <w:t xml:space="preserve">Iншi витрати </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w:t>
      </w:r>
      <w:r>
        <w:rPr>
          <w:rFonts w:ascii="Times New Roman CYR" w:hAnsi="Times New Roman CYR" w:cs="Times New Roman CYR"/>
          <w:sz w:val="24"/>
          <w:szCs w:val="24"/>
        </w:rPr>
        <w:tab/>
        <w:t xml:space="preserve">Усього фiнансових витрат та iнших витрат </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До статтi iншi  витрати зокрем</w:t>
      </w:r>
      <w:r>
        <w:rPr>
          <w:rFonts w:ascii="Times New Roman CYR" w:hAnsi="Times New Roman CYR" w:cs="Times New Roman CYR"/>
          <w:sz w:val="24"/>
          <w:szCs w:val="24"/>
        </w:rPr>
        <w:t>а включено витрати: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витрати на придбання товарiв, робiт послуг не страхової дiяльностi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благодiйна допомога 1971,0 тис 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сплата штрафних сакцiй 1,7 тис.грн.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6.17.  Витрати на податок на прибуток та визначення чистого прибутку (збитку)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Таб.6.17.</w:t>
      </w:r>
      <w:r>
        <w:rPr>
          <w:rFonts w:ascii="Times New Roman CYR" w:hAnsi="Times New Roman CYR" w:cs="Times New Roman CYR"/>
          <w:sz w:val="24"/>
          <w:szCs w:val="24"/>
        </w:rPr>
        <w:t xml:space="preserve"> (тис. 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Рядок</w:t>
      </w:r>
      <w:r>
        <w:rPr>
          <w:rFonts w:ascii="Times New Roman CYR" w:hAnsi="Times New Roman CYR" w:cs="Times New Roman CYR"/>
          <w:sz w:val="24"/>
          <w:szCs w:val="24"/>
        </w:rPr>
        <w:tab/>
        <w:t>Найменування статтi</w:t>
      </w:r>
      <w:r>
        <w:rPr>
          <w:rFonts w:ascii="Times New Roman CYR" w:hAnsi="Times New Roman CYR" w:cs="Times New Roman CYR"/>
          <w:sz w:val="24"/>
          <w:szCs w:val="24"/>
        </w:rPr>
        <w:tab/>
        <w:t>Звiтнiй перiод 2022рiк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Звiтнiй перiод 2023 рiк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2</w:t>
      </w:r>
      <w:r>
        <w:rPr>
          <w:rFonts w:ascii="Times New Roman CYR" w:hAnsi="Times New Roman CYR" w:cs="Times New Roman CYR"/>
          <w:sz w:val="24"/>
          <w:szCs w:val="24"/>
        </w:rPr>
        <w:tab/>
        <w:t>3</w:t>
      </w:r>
      <w:r>
        <w:rPr>
          <w:rFonts w:ascii="Times New Roman CYR" w:hAnsi="Times New Roman CYR" w:cs="Times New Roman CYR"/>
          <w:sz w:val="24"/>
          <w:szCs w:val="24"/>
        </w:rPr>
        <w:tab/>
        <w:t>4</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Прибуток (збиток)  до оподаткування</w:t>
      </w:r>
      <w:r>
        <w:rPr>
          <w:rFonts w:ascii="Times New Roman CYR" w:hAnsi="Times New Roman CYR" w:cs="Times New Roman CYR"/>
          <w:sz w:val="24"/>
          <w:szCs w:val="24"/>
        </w:rPr>
        <w:tab/>
        <w:t>(13,0)</w:t>
      </w:r>
      <w:r>
        <w:rPr>
          <w:rFonts w:ascii="Times New Roman CYR" w:hAnsi="Times New Roman CYR" w:cs="Times New Roman CYR"/>
          <w:sz w:val="24"/>
          <w:szCs w:val="24"/>
        </w:rPr>
        <w:tab/>
        <w:t>(21,0)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 xml:space="preserve">Поточний податок на прибуток </w:t>
      </w:r>
      <w:r>
        <w:rPr>
          <w:rFonts w:ascii="Times New Roman CYR" w:hAnsi="Times New Roman CYR" w:cs="Times New Roman CYR"/>
          <w:sz w:val="24"/>
          <w:szCs w:val="24"/>
        </w:rPr>
        <w:tab/>
        <w:t>(13,0)</w:t>
      </w:r>
      <w:r>
        <w:rPr>
          <w:rFonts w:ascii="Times New Roman CYR" w:hAnsi="Times New Roman CYR" w:cs="Times New Roman CYR"/>
          <w:sz w:val="24"/>
          <w:szCs w:val="24"/>
        </w:rPr>
        <w:tab/>
        <w:t>(21,0)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зменшення (збiльшення) вiдстрочених податкових активiв</w:t>
      </w:r>
      <w:r>
        <w:rPr>
          <w:rFonts w:ascii="Times New Roman CYR" w:hAnsi="Times New Roman CYR" w:cs="Times New Roman CYR"/>
          <w:sz w:val="24"/>
          <w:szCs w:val="24"/>
        </w:rPr>
        <w:tab/>
        <w:t>-</w:t>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w:t>
      </w:r>
      <w:r>
        <w:rPr>
          <w:rFonts w:ascii="Times New Roman CYR" w:hAnsi="Times New Roman CYR" w:cs="Times New Roman CYR"/>
          <w:sz w:val="24"/>
          <w:szCs w:val="24"/>
        </w:rPr>
        <w:tab/>
        <w:t>(збiльшення) зменшення вiдстрочених податкових зобов'язань</w:t>
      </w:r>
      <w:r>
        <w:rPr>
          <w:rFonts w:ascii="Times New Roman CYR" w:hAnsi="Times New Roman CYR" w:cs="Times New Roman CYR"/>
          <w:sz w:val="24"/>
          <w:szCs w:val="24"/>
        </w:rPr>
        <w:tab/>
      </w:r>
      <w:r>
        <w:rPr>
          <w:rFonts w:ascii="Times New Roman CYR" w:hAnsi="Times New Roman CYR" w:cs="Times New Roman CYR"/>
          <w:sz w:val="24"/>
          <w:szCs w:val="24"/>
        </w:rPr>
        <w:tab/>
        <w:t>-</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w:t>
      </w:r>
      <w:r>
        <w:rPr>
          <w:rFonts w:ascii="Times New Roman CYR" w:hAnsi="Times New Roman CYR" w:cs="Times New Roman CYR"/>
          <w:sz w:val="24"/>
          <w:szCs w:val="24"/>
        </w:rPr>
        <w:tab/>
        <w:t xml:space="preserve"> Усього витрати на податок  на прибуток</w:t>
      </w:r>
      <w:r>
        <w:rPr>
          <w:rFonts w:ascii="Times New Roman CYR" w:hAnsi="Times New Roman CYR" w:cs="Times New Roman CYR"/>
          <w:sz w:val="24"/>
          <w:szCs w:val="24"/>
        </w:rPr>
        <w:tab/>
        <w:t>(13,0)</w:t>
      </w:r>
      <w:r>
        <w:rPr>
          <w:rFonts w:ascii="Times New Roman CYR" w:hAnsi="Times New Roman CYR" w:cs="Times New Roman CYR"/>
          <w:sz w:val="24"/>
          <w:szCs w:val="24"/>
        </w:rPr>
        <w:tab/>
        <w:t>(21,0)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w:t>
      </w:r>
      <w:r>
        <w:rPr>
          <w:rFonts w:ascii="Times New Roman CYR" w:hAnsi="Times New Roman CYR" w:cs="Times New Roman CYR"/>
          <w:sz w:val="24"/>
          <w:szCs w:val="24"/>
        </w:rPr>
        <w:tab/>
        <w:t>Прибуток (збиток) поточного року</w:t>
      </w:r>
      <w:r>
        <w:rPr>
          <w:rFonts w:ascii="Times New Roman CYR" w:hAnsi="Times New Roman CYR" w:cs="Times New Roman CYR"/>
          <w:sz w:val="24"/>
          <w:szCs w:val="24"/>
        </w:rPr>
        <w:tab/>
        <w:t>(13,0)</w:t>
      </w:r>
      <w:r>
        <w:rPr>
          <w:rFonts w:ascii="Times New Roman CYR" w:hAnsi="Times New Roman CYR" w:cs="Times New Roman CYR"/>
          <w:sz w:val="24"/>
          <w:szCs w:val="24"/>
        </w:rPr>
        <w:tab/>
        <w:t>(21,0)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при визначеннi вiдст</w:t>
      </w:r>
      <w:r>
        <w:rPr>
          <w:rFonts w:ascii="Times New Roman CYR" w:hAnsi="Times New Roman CYR" w:cs="Times New Roman CYR"/>
          <w:sz w:val="24"/>
          <w:szCs w:val="24"/>
        </w:rPr>
        <w:t>рочених податкових активiв та зобов'язань,  суми податку на прибуток було визначено за наступними ставками: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 xml:space="preserve">При здiйсненнi страхової дiяльностi за ставкою  в розмiрi - 3%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За договорами добровiльного медичного страхування  -  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Податок на при</w:t>
      </w:r>
      <w:r>
        <w:rPr>
          <w:rFonts w:ascii="Times New Roman CYR" w:hAnsi="Times New Roman CYR" w:cs="Times New Roman CYR"/>
          <w:sz w:val="24"/>
          <w:szCs w:val="24"/>
        </w:rPr>
        <w:t>буток, за загальною ставкою в розмiрi - 18%;</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6.18. Операцiйнi сегменти.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кiлькiсною ознакою операцiйними сегментами є географiчнi сегменти, а також сегменти по видах страхових продуктiв. Бiльш докладну iнформацiю про доходи та витрати в розрiзi сегментiв Компанiї розкрито  в IR400002 "Показники дiяльностi з видiв добровiльно</w:t>
      </w:r>
      <w:r>
        <w:rPr>
          <w:rFonts w:ascii="Times New Roman CYR" w:hAnsi="Times New Roman CYR" w:cs="Times New Roman CYR"/>
          <w:sz w:val="24"/>
          <w:szCs w:val="24"/>
        </w:rPr>
        <w:t xml:space="preserve">го страхування, iнших, нiж страхування життя", якiй, в складi страхової звiтностi надається в НБУ.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6.19. Цiлi та полiтики управлiння фiнансовими ризиками.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фiнансовi зобов'язання Компанiї, включають страховi зобов'язання, позики, кредиторську з</w:t>
      </w:r>
      <w:r>
        <w:rPr>
          <w:rFonts w:ascii="Times New Roman CYR" w:hAnsi="Times New Roman CYR" w:cs="Times New Roman CYR"/>
          <w:sz w:val="24"/>
          <w:szCs w:val="24"/>
        </w:rPr>
        <w:t>аборгованiсть за товари, роботи, послуги та iншу поточну кредиторську заборгованiсть. Основною цiллю даних фiнансових зобов'язань є фiнансовi операцiї Компанiї. У Компанiї є дебiторська заборгованiсть за товари, роботи, послуги, iнша дебiторська заборгован</w:t>
      </w:r>
      <w:r>
        <w:rPr>
          <w:rFonts w:ascii="Times New Roman CYR" w:hAnsi="Times New Roman CYR" w:cs="Times New Roman CYR"/>
          <w:sz w:val="24"/>
          <w:szCs w:val="24"/>
        </w:rPr>
        <w:t xml:space="preserve">iсть, грошовi кошти, депозити, довгостроковi фiнансовi iнвестицiї, якi виникають безпосередньо в ходi операцiйної дiяльностi.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Дiяльнiсть iз управлiння ризиками є для Страховика систематичною, iнтегрованою в стратегiчне та оперативне управлiння на всiх рi</w:t>
      </w:r>
      <w:r>
        <w:rPr>
          <w:rFonts w:ascii="Times New Roman CYR" w:hAnsi="Times New Roman CYR" w:cs="Times New Roman CYR"/>
          <w:sz w:val="24"/>
          <w:szCs w:val="24"/>
        </w:rPr>
        <w:t>внях, що охоплює всi пiдроздiли i спiвробiтникiв пiд час виконання ними своїх функцiй у рамках будь-яких бiзнес-процесiв. Система управлiння ризиками страховика - ПрАТ "СК "САТIС" побудована i функцiонує у вiдповiдностi до "Вимог до органiзацiї i функцiону</w:t>
      </w:r>
      <w:r>
        <w:rPr>
          <w:rFonts w:ascii="Times New Roman CYR" w:hAnsi="Times New Roman CYR" w:cs="Times New Roman CYR"/>
          <w:sz w:val="24"/>
          <w:szCs w:val="24"/>
        </w:rPr>
        <w:t xml:space="preserve">вання системи управлiння ризиками у страховика", затверджених розпорядженням Нацкомфiнпослуг вiд 04.02.2014р. № 295 i зареєстрованих в Мiнiстерствi юстицiї України 03.03.2014р. за № 344/25121.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ПрАТ СК "САТIС" схильне  до страхового ризику, ринкового ризи</w:t>
      </w:r>
      <w:r>
        <w:rPr>
          <w:rFonts w:ascii="Times New Roman CYR" w:hAnsi="Times New Roman CYR" w:cs="Times New Roman CYR"/>
          <w:sz w:val="24"/>
          <w:szCs w:val="24"/>
        </w:rPr>
        <w:t>ку, кредитного ризику та ризику лiквiдностi, валютного ризику, податкового тощо.</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Вище керiвництво Компанiї контролює процес управлiння даними ризиками. Спецiалiсти з фiнансових ризикiв надають консультацiї вищому керiвництву вiдносно фiнансових ризикiв та</w:t>
      </w:r>
      <w:r>
        <w:rPr>
          <w:rFonts w:ascii="Times New Roman CYR" w:hAnsi="Times New Roman CYR" w:cs="Times New Roman CYR"/>
          <w:sz w:val="24"/>
          <w:szCs w:val="24"/>
        </w:rPr>
        <w:t xml:space="preserve"> вiдповiдної концепцiї управлiння фiнансовими ризиками та допомагають йому бути впевненими в тому, що дiяльнiсть Компанiї, здiйснюється згiдно вiдповiдної полiтики Компанiї.  Всi операцiї з фiнансовими iнструментами з метою управлiння ризиками здiйснюються</w:t>
      </w:r>
      <w:r>
        <w:rPr>
          <w:rFonts w:ascii="Times New Roman CYR" w:hAnsi="Times New Roman CYR" w:cs="Times New Roman CYR"/>
          <w:sz w:val="24"/>
          <w:szCs w:val="24"/>
        </w:rPr>
        <w:t xml:space="preserve"> спецiалiстами з вiдповiдною квалiфiкацiєю та досвiдом роботи. Вiдповiдно до своєї полiтики Компанiя не здiйснює торгiвлю фiнансовими iнструментами в спекулятивних цiлях.</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Правлiння здiйснює аналiз та затверджує полiтику управлiння вказаними ризиками, iнфо</w:t>
      </w:r>
      <w:r>
        <w:rPr>
          <w:rFonts w:ascii="Times New Roman CYR" w:hAnsi="Times New Roman CYR" w:cs="Times New Roman CYR"/>
          <w:sz w:val="24"/>
          <w:szCs w:val="24"/>
        </w:rPr>
        <w:t>рмацiя про яку наводиться нижче.</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Страховий ризик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Визначення страхового ризику посилається на ризик, який страховик приймає вiд власника страхового полiса. Iншими словами, страховий ризик - це ризик, який iснує вiд початку та передається вiд власника стра</w:t>
      </w:r>
      <w:r>
        <w:rPr>
          <w:rFonts w:ascii="Times New Roman CYR" w:hAnsi="Times New Roman CYR" w:cs="Times New Roman CYR"/>
          <w:sz w:val="24"/>
          <w:szCs w:val="24"/>
        </w:rPr>
        <w:t xml:space="preserve">хового полiса страховиковi. Отже, новий ризик, створений контрактом, не є страховим ризиком.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кращого розумiння сутностi ризикiв Компанiя дослiджує їх класифiкацiю на основi iстотних класифiкацiйних ознак: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Випадковiсть - невiдомiсть щодо часу i ве</w:t>
      </w:r>
      <w:r>
        <w:rPr>
          <w:rFonts w:ascii="Times New Roman CYR" w:hAnsi="Times New Roman CYR" w:cs="Times New Roman CYR"/>
          <w:sz w:val="24"/>
          <w:szCs w:val="24"/>
        </w:rPr>
        <w:t>личини збитку, а також незалежнiсть страхового збитку вiд волi i поведiнки страхувальника.</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Можливiсть оцiнки розподiлу збиткiв - можливiсть визначити очiкувану мiру збитку i мiру його вiрогiдностi (без наявностi цiєї iнформацiї неможливо розрахувати ве</w:t>
      </w:r>
      <w:r>
        <w:rPr>
          <w:rFonts w:ascii="Times New Roman CYR" w:hAnsi="Times New Roman CYR" w:cs="Times New Roman CYR"/>
          <w:sz w:val="24"/>
          <w:szCs w:val="24"/>
        </w:rPr>
        <w:t>личину страхової премiї).</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Однозначнiсть розподiлу збиткiв - точнiсть i однозначнiсть визначення в договорi страхування об'єктiв страхування i збиткiв. Ця умова є особливо важливою для визначення страхового вiдшкодування, яке потрiбно сплатити.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Незалежнiсть застрахованих розподiлiв збиткiв один вiд одного - уникнення страховиком при укладаннi договору страхування концентрацiї ризику.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Товариства визнає, що дiяльнiсть Товариства пов'язана з ризиками i вартiсть чистих активiв у неста</w:t>
      </w:r>
      <w:r>
        <w:rPr>
          <w:rFonts w:ascii="Times New Roman CYR" w:hAnsi="Times New Roman CYR" w:cs="Times New Roman CYR"/>
          <w:sz w:val="24"/>
          <w:szCs w:val="24"/>
        </w:rPr>
        <w:t xml:space="preserve">бiльному ринковому середовищi може суттєво змiнитись внаслiдок впливу суб'єктивних чинникiв та об'єктивних чинникiв, вiрогiднiсть i напрямок впливу яких заздалегiдь точно передбачити неможливо. До таких ризикiв вiднесено кредитний ризик, ринковий ризик та </w:t>
      </w:r>
      <w:r>
        <w:rPr>
          <w:rFonts w:ascii="Times New Roman CYR" w:hAnsi="Times New Roman CYR" w:cs="Times New Roman CYR"/>
          <w:sz w:val="24"/>
          <w:szCs w:val="24"/>
        </w:rPr>
        <w:t>ризик лiквiдностi. Ринковий ризик включає валютний ризик, вiдсотковий ризик та iнший цiновий ризик. Управлiння ризиками керiвництвом Товариства здiйснюється на основi розумiння причин виникнення ризику, кiлькiсної оцiнки його можливого впливу на вартiсть ч</w:t>
      </w:r>
      <w:r>
        <w:rPr>
          <w:rFonts w:ascii="Times New Roman CYR" w:hAnsi="Times New Roman CYR" w:cs="Times New Roman CYR"/>
          <w:sz w:val="24"/>
          <w:szCs w:val="24"/>
        </w:rPr>
        <w:t>истих активiв та застосування iнструментарiю щодо його пом'якшення.</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Кредитний ризик - ризик того, що одна сторона контракту про фiнансовий iнструмент не зможе виконати зобов'язання i це буде причиною виникнення фiнансового збитку iншої сторони.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Кредитний</w:t>
      </w:r>
      <w:r>
        <w:rPr>
          <w:rFonts w:ascii="Times New Roman CYR" w:hAnsi="Times New Roman CYR" w:cs="Times New Roman CYR"/>
          <w:sz w:val="24"/>
          <w:szCs w:val="24"/>
        </w:rPr>
        <w:t xml:space="preserve"> ризик притаманний таким фiнансовим iнструментам, як поточнi та депозитнi рахунки в банках, облiгацiї та дебiторська заборгованiсть.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Основним методом оцiнки кредитних ризикiв керiвництвом Товариства є оцiнка кредитоспроможностi контрагентiв, для </w:t>
      </w:r>
      <w:r>
        <w:rPr>
          <w:rFonts w:ascii="Times New Roman CYR" w:hAnsi="Times New Roman CYR" w:cs="Times New Roman CYR"/>
          <w:sz w:val="24"/>
          <w:szCs w:val="24"/>
        </w:rPr>
        <w:t>чого використовуються кредитнi рейтинги та будь-яка iнша доступна iнформацiя щодо їх спроможностi виконувати борговi зобов'язання. Товариство використовує наступнi методи управлiння кредитними ризиками: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 лiмiти щодо боргових зобов'язань за класами фiнанс</w:t>
      </w:r>
      <w:r>
        <w:rPr>
          <w:rFonts w:ascii="Times New Roman CYR" w:hAnsi="Times New Roman CYR" w:cs="Times New Roman CYR"/>
          <w:sz w:val="24"/>
          <w:szCs w:val="24"/>
        </w:rPr>
        <w:t>ових iнструментiв;</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oлiмiти щодо боргових зобов'язань перед одним контрагентом (або асоцiйованою групою);</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oлiмiти щодо вкладень у фiнансовi iнструменти в розрiзi кредитних рейтингiв за Нацiональною рейтинговою шкалою;</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oлiмiти щодо розмiщення депозитiв у </w:t>
      </w:r>
      <w:r>
        <w:rPr>
          <w:rFonts w:ascii="Times New Roman CYR" w:hAnsi="Times New Roman CYR" w:cs="Times New Roman CYR"/>
          <w:sz w:val="24"/>
          <w:szCs w:val="24"/>
        </w:rPr>
        <w:t>банках з рiзними рейтингами та випадки дефолту та неповернення депозитiв протягом останнiх п'яти рокiв.</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Ринковий ризик - це ризик того, що справедлива вартiсть або майбутнi грошовi потоки вiд фiнансового iнструмента коливатимуться внаслiдок змiн ринкових </w:t>
      </w:r>
      <w:r>
        <w:rPr>
          <w:rFonts w:ascii="Times New Roman CYR" w:hAnsi="Times New Roman CYR" w:cs="Times New Roman CYR"/>
          <w:sz w:val="24"/>
          <w:szCs w:val="24"/>
        </w:rPr>
        <w:t>цiн. Ринковий ризик охоплює три типи ризику: iнший цiновий ризик, валютний ризик та вiдсотковий ризик. Ринковий ризик виникає у зв'язку з ризиками збиткiв, зумовлених коливаннями цiн на акцiї, вiдсоткових ставок та валютних курсiв. Товариство наражатиметьс</w:t>
      </w:r>
      <w:r>
        <w:rPr>
          <w:rFonts w:ascii="Times New Roman CYR" w:hAnsi="Times New Roman CYR" w:cs="Times New Roman CYR"/>
          <w:sz w:val="24"/>
          <w:szCs w:val="24"/>
        </w:rPr>
        <w:t>я на ринковi ризики у зв'язку з iнвестицiями в акцiї, облiгацiї та iншi фiнансовi iнструменти.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Iнший цiновий ризик - це ризик того, що справедлива вартiсть або майбутнi грошовi потоки вiд фiнансового iнструмента коливатимуться внаслiдок змiн ринкових цiн </w:t>
      </w:r>
      <w:r>
        <w:rPr>
          <w:rFonts w:ascii="Times New Roman CYR" w:hAnsi="Times New Roman CYR" w:cs="Times New Roman CYR"/>
          <w:sz w:val="24"/>
          <w:szCs w:val="24"/>
        </w:rPr>
        <w:t>(окрiм тих, що виникають внаслiдок вiдсоткового ризику чи валютного ризику), незалежно вiд того, чи спричиненi вони чинниками, характерними для окремого фiнансового iнструмента або його емiтента, чи чинниками, що впливають на всi подiбнi фiнансовi iнструме</w:t>
      </w:r>
      <w:r>
        <w:rPr>
          <w:rFonts w:ascii="Times New Roman CYR" w:hAnsi="Times New Roman CYR" w:cs="Times New Roman CYR"/>
          <w:sz w:val="24"/>
          <w:szCs w:val="24"/>
        </w:rPr>
        <w:t>нти, з якими здiйснюються операцiї на ринку.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Основним методом оцiнки цiнового ризику є аналiз чутливостi. Серед методiв пом'якшення цiнового ризику Товариство використовує диверсифiкацiю активiв та дотримання лiмiтiв на вкладення в акцiї та iншi </w:t>
      </w:r>
      <w:r>
        <w:rPr>
          <w:rFonts w:ascii="Times New Roman CYR" w:hAnsi="Times New Roman CYR" w:cs="Times New Roman CYR"/>
          <w:sz w:val="24"/>
          <w:szCs w:val="24"/>
        </w:rPr>
        <w:t>фiнансовi iнструменти з нефiксованим прибутком.</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За iнвестицiйними активами, оцiненими за 3-м рiвнем iєрархiї (примiтка 6.2), аналiз чутливостi до iншого цiнового ризику Товариство не здiйснювало вiдповiдно до п. 27 МСФЗ 7 "Фiнансовi iнструменти:</w:t>
      </w:r>
      <w:r>
        <w:rPr>
          <w:rFonts w:ascii="Times New Roman CYR" w:hAnsi="Times New Roman CYR" w:cs="Times New Roman CYR"/>
          <w:sz w:val="24"/>
          <w:szCs w:val="24"/>
        </w:rPr>
        <w:t xml:space="preserve"> розкриття iнформацiї".</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Валютний ризик - це ризик того, що справедлива вартiсть або майбутнi грошовi потоки вiд фiнансового iнструменту коливатимуться внаслiдок змiн валютних курсiв.</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Оскiльки Товариство не  мало суттєвих активiв в iноземнiй валютi, то активи не були чутливими до валютного ризику i потенцiйнi змiни не вимiрювались.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Вiдсотковий ризик - це ризик того, що справедлива вартiсть або майбутнi грошовi потоки вiд фiнансового iн</w:t>
      </w:r>
      <w:r>
        <w:rPr>
          <w:rFonts w:ascii="Times New Roman CYR" w:hAnsi="Times New Roman CYR" w:cs="Times New Roman CYR"/>
          <w:sz w:val="24"/>
          <w:szCs w:val="24"/>
        </w:rPr>
        <w:t>струмента коливатимуться внаслiдок змiн ринкових вiдсоткових ставок. Керiвництво Товариства усвiдомлює, що вiдсотковi ставки можуть змiнюватись i це впливатиме як на доходи Товариства, так i на справедливу вартiсть чистих активiв.</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Усвiдомлюючи значнi ризи</w:t>
      </w:r>
      <w:r>
        <w:rPr>
          <w:rFonts w:ascii="Times New Roman CYR" w:hAnsi="Times New Roman CYR" w:cs="Times New Roman CYR"/>
          <w:sz w:val="24"/>
          <w:szCs w:val="24"/>
        </w:rPr>
        <w:t>ки, пов'язанi з коливаннями вiдсоткових ставок у високоiнфляцiйному  середовищi, яке є властивим для фiнансової системи України, керiвництво Товариства контролює частку активiв, розмiщених у боргових зобов'язаннях у нацiональнiй валютi з фiксованою вiдсотк</w:t>
      </w:r>
      <w:r>
        <w:rPr>
          <w:rFonts w:ascii="Times New Roman CYR" w:hAnsi="Times New Roman CYR" w:cs="Times New Roman CYR"/>
          <w:sz w:val="24"/>
          <w:szCs w:val="24"/>
        </w:rPr>
        <w:t>овою ставкою.</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Активи, якi наражаються на вiдсотковi ризики: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Таб.6.19. (тис. 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Тип активу</w:t>
      </w:r>
      <w:r>
        <w:rPr>
          <w:rFonts w:ascii="Times New Roman CYR" w:hAnsi="Times New Roman CYR" w:cs="Times New Roman CYR"/>
          <w:sz w:val="24"/>
          <w:szCs w:val="24"/>
        </w:rPr>
        <w:tab/>
        <w:t>Звiтнiй перiод 2022рiк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Звiтнiй перiод 2023 рiк</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Банкiвськi депозити</w:t>
      </w:r>
      <w:r>
        <w:rPr>
          <w:rFonts w:ascii="Times New Roman CYR" w:hAnsi="Times New Roman CYR" w:cs="Times New Roman CYR"/>
          <w:sz w:val="24"/>
          <w:szCs w:val="24"/>
        </w:rPr>
        <w:tab/>
        <w:t>4067,00</w:t>
      </w:r>
      <w:r>
        <w:rPr>
          <w:rFonts w:ascii="Times New Roman CYR" w:hAnsi="Times New Roman CYR" w:cs="Times New Roman CYR"/>
          <w:sz w:val="24"/>
          <w:szCs w:val="24"/>
        </w:rPr>
        <w:tab/>
        <w:t>4067,00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Всього</w:t>
      </w:r>
      <w:r>
        <w:rPr>
          <w:rFonts w:ascii="Times New Roman CYR" w:hAnsi="Times New Roman CYR" w:cs="Times New Roman CYR"/>
          <w:sz w:val="24"/>
          <w:szCs w:val="24"/>
        </w:rPr>
        <w:tab/>
        <w:t>4067,0</w:t>
      </w:r>
      <w:r>
        <w:rPr>
          <w:rFonts w:ascii="Times New Roman CYR" w:hAnsi="Times New Roman CYR" w:cs="Times New Roman CYR"/>
          <w:sz w:val="24"/>
          <w:szCs w:val="24"/>
        </w:rPr>
        <w:tab/>
        <w:t>4067,0</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оцiнки можливих коливань вiдсоткових ставок Тов</w:t>
      </w:r>
      <w:r>
        <w:rPr>
          <w:rFonts w:ascii="Times New Roman CYR" w:hAnsi="Times New Roman CYR" w:cs="Times New Roman CYR"/>
          <w:sz w:val="24"/>
          <w:szCs w:val="24"/>
        </w:rPr>
        <w:t>ариство використовувало iсторичну волатильнiсть вiдсоткових ставок за строковими депозитами (до 1 року) за останнi 2 роки за оприлюдненою iнформацiєю НБУ.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визнає, що обгрунтовано можливим є коливання ринкових ставок на +3,0 процентних пункти. П</w:t>
      </w:r>
      <w:r>
        <w:rPr>
          <w:rFonts w:ascii="Times New Roman CYR" w:hAnsi="Times New Roman CYR" w:cs="Times New Roman CYR"/>
          <w:sz w:val="24"/>
          <w:szCs w:val="24"/>
        </w:rPr>
        <w:t>роведений аналiз чутливостi заснований на припущеннi, що всi iншi параметри, зокрема валютний курс, залишатимуться незмiнними, i показує можливий вплив змiни вiдсоткових ставок на 3,0 процентних пункти на вартiсть чистих активiв Товариства.</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Можлива змiна </w:t>
      </w:r>
      <w:r>
        <w:rPr>
          <w:rFonts w:ascii="Times New Roman CYR" w:hAnsi="Times New Roman CYR" w:cs="Times New Roman CYR"/>
          <w:sz w:val="24"/>
          <w:szCs w:val="24"/>
        </w:rPr>
        <w:t>справедливої вартостi боргових фiнансових iнструментiв з фiксованою вiдсотковою ставкою розрахована як рiзниця мiж дисконтованими грошовими потоками за дiючою ставкою та дисконтованими грошовими потоками у разi змiни вiдсоткової ставки за кожним фiнансовим</w:t>
      </w:r>
      <w:r>
        <w:rPr>
          <w:rFonts w:ascii="Times New Roman CYR" w:hAnsi="Times New Roman CYR" w:cs="Times New Roman CYR"/>
          <w:sz w:val="24"/>
          <w:szCs w:val="24"/>
        </w:rPr>
        <w:t xml:space="preserve"> iнструментом.</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Вiдсотковi ризики: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Таб.6.19.1. (тис. 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Тип активу</w:t>
      </w:r>
      <w:r>
        <w:rPr>
          <w:rFonts w:ascii="Times New Roman CYR" w:hAnsi="Times New Roman CYR" w:cs="Times New Roman CYR"/>
          <w:sz w:val="24"/>
          <w:szCs w:val="24"/>
        </w:rPr>
        <w:tab/>
        <w:t>Вартiсть</w:t>
      </w:r>
      <w:r>
        <w:rPr>
          <w:rFonts w:ascii="Times New Roman CYR" w:hAnsi="Times New Roman CYR" w:cs="Times New Roman CYR"/>
          <w:sz w:val="24"/>
          <w:szCs w:val="24"/>
        </w:rPr>
        <w:tab/>
        <w:t>Середньозважена ставка</w:t>
      </w:r>
      <w:r>
        <w:rPr>
          <w:rFonts w:ascii="Times New Roman CYR" w:hAnsi="Times New Roman CYR" w:cs="Times New Roman CYR"/>
          <w:sz w:val="24"/>
          <w:szCs w:val="24"/>
        </w:rPr>
        <w:tab/>
        <w:t>Потенцiйний вплив на чистi активи Товариства в разi змiни вiдсоткової ставки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30.06.2023 р.</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Можливi коливання ринкових ставок                                         -3,0% пункти     + 3,0% пункти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Банкiвськi депозити</w:t>
      </w:r>
      <w:r>
        <w:rPr>
          <w:rFonts w:ascii="Times New Roman CYR" w:hAnsi="Times New Roman CYR" w:cs="Times New Roman CYR"/>
          <w:sz w:val="24"/>
          <w:szCs w:val="24"/>
        </w:rPr>
        <w:tab/>
        <w:t>4067,0</w:t>
      </w:r>
      <w:r>
        <w:rPr>
          <w:rFonts w:ascii="Times New Roman CYR" w:hAnsi="Times New Roman CYR" w:cs="Times New Roman CYR"/>
          <w:sz w:val="24"/>
          <w:szCs w:val="24"/>
        </w:rPr>
        <w:tab/>
        <w:t>7,5%</w:t>
      </w:r>
      <w:r>
        <w:rPr>
          <w:rFonts w:ascii="Times New Roman CYR" w:hAnsi="Times New Roman CYR" w:cs="Times New Roman CYR"/>
          <w:sz w:val="24"/>
          <w:szCs w:val="24"/>
        </w:rPr>
        <w:tab/>
        <w:t>-120,2</w:t>
      </w:r>
      <w:r>
        <w:rPr>
          <w:rFonts w:ascii="Times New Roman CYR" w:hAnsi="Times New Roman CYR" w:cs="Times New Roman CYR"/>
          <w:sz w:val="24"/>
          <w:szCs w:val="24"/>
        </w:rPr>
        <w:tab/>
        <w:t>+120,2</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Разом </w:t>
      </w:r>
      <w:r>
        <w:rPr>
          <w:rFonts w:ascii="Times New Roman CYR" w:hAnsi="Times New Roman CYR" w:cs="Times New Roman CYR"/>
          <w:sz w:val="24"/>
          <w:szCs w:val="24"/>
        </w:rPr>
        <w:tab/>
        <w:t>4067,0</w:t>
      </w:r>
      <w:r>
        <w:rPr>
          <w:rFonts w:ascii="Times New Roman CYR" w:hAnsi="Times New Roman CYR" w:cs="Times New Roman CYR"/>
          <w:sz w:val="24"/>
          <w:szCs w:val="24"/>
        </w:rPr>
        <w:tab/>
      </w:r>
      <w:r>
        <w:rPr>
          <w:rFonts w:ascii="Times New Roman CYR" w:hAnsi="Times New Roman CYR" w:cs="Times New Roman CYR"/>
          <w:sz w:val="24"/>
          <w:szCs w:val="24"/>
        </w:rPr>
        <w:tab/>
        <w:t>-120,2</w:t>
      </w:r>
      <w:r>
        <w:rPr>
          <w:rFonts w:ascii="Times New Roman CYR" w:hAnsi="Times New Roman CYR" w:cs="Times New Roman CYR"/>
          <w:sz w:val="24"/>
          <w:szCs w:val="24"/>
        </w:rPr>
        <w:tab/>
        <w:t>+120,2</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31.12.2022 р.</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Можливi коливання ринкових ставок                      </w:t>
      </w:r>
      <w:r>
        <w:rPr>
          <w:rFonts w:ascii="Times New Roman CYR" w:hAnsi="Times New Roman CYR" w:cs="Times New Roman CYR"/>
          <w:sz w:val="24"/>
          <w:szCs w:val="24"/>
        </w:rPr>
        <w:t xml:space="preserve">                   -3,% пункти     + 3,% пункти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Банкiвськi депозити</w:t>
      </w:r>
      <w:r>
        <w:rPr>
          <w:rFonts w:ascii="Times New Roman CYR" w:hAnsi="Times New Roman CYR" w:cs="Times New Roman CYR"/>
          <w:sz w:val="24"/>
          <w:szCs w:val="24"/>
        </w:rPr>
        <w:tab/>
        <w:t>4067,0</w:t>
      </w:r>
      <w:r>
        <w:rPr>
          <w:rFonts w:ascii="Times New Roman CYR" w:hAnsi="Times New Roman CYR" w:cs="Times New Roman CYR"/>
          <w:sz w:val="24"/>
          <w:szCs w:val="24"/>
        </w:rPr>
        <w:tab/>
        <w:t>12%</w:t>
      </w:r>
      <w:r>
        <w:rPr>
          <w:rFonts w:ascii="Times New Roman CYR" w:hAnsi="Times New Roman CYR" w:cs="Times New Roman CYR"/>
          <w:sz w:val="24"/>
          <w:szCs w:val="24"/>
        </w:rPr>
        <w:tab/>
        <w:t>-120,2</w:t>
      </w:r>
      <w:r>
        <w:rPr>
          <w:rFonts w:ascii="Times New Roman CYR" w:hAnsi="Times New Roman CYR" w:cs="Times New Roman CYR"/>
          <w:sz w:val="24"/>
          <w:szCs w:val="24"/>
        </w:rPr>
        <w:tab/>
        <w:t>+120,2</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Разом </w:t>
      </w:r>
      <w:r>
        <w:rPr>
          <w:rFonts w:ascii="Times New Roman CYR" w:hAnsi="Times New Roman CYR" w:cs="Times New Roman CYR"/>
          <w:sz w:val="24"/>
          <w:szCs w:val="24"/>
        </w:rPr>
        <w:tab/>
        <w:t>4067,0</w:t>
      </w:r>
      <w:r>
        <w:rPr>
          <w:rFonts w:ascii="Times New Roman CYR" w:hAnsi="Times New Roman CYR" w:cs="Times New Roman CYR"/>
          <w:sz w:val="24"/>
          <w:szCs w:val="24"/>
        </w:rPr>
        <w:tab/>
      </w:r>
      <w:r>
        <w:rPr>
          <w:rFonts w:ascii="Times New Roman CYR" w:hAnsi="Times New Roman CYR" w:cs="Times New Roman CYR"/>
          <w:sz w:val="24"/>
          <w:szCs w:val="24"/>
        </w:rPr>
        <w:tab/>
        <w:t>-120,2</w:t>
      </w:r>
      <w:r>
        <w:rPr>
          <w:rFonts w:ascii="Times New Roman CYR" w:hAnsi="Times New Roman CYR" w:cs="Times New Roman CYR"/>
          <w:sz w:val="24"/>
          <w:szCs w:val="24"/>
        </w:rPr>
        <w:tab/>
        <w:t>+120,2</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Ризик лiквiдностi - ризик того, що Товариство матиме труднощi при виконаннi зобов'язань, пов'язаних iз фiнансовими зобов'язаннями, </w:t>
      </w:r>
      <w:r>
        <w:rPr>
          <w:rFonts w:ascii="Times New Roman CYR" w:hAnsi="Times New Roman CYR" w:cs="Times New Roman CYR"/>
          <w:sz w:val="24"/>
          <w:szCs w:val="24"/>
        </w:rPr>
        <w:t xml:space="preserve">що погашаються шляхом поставки грошових коштiв або iншого фiнансового активу.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здiйснює контроль лiквiдностi шляхом планування поточної лiквiдностi. Товариство аналiзує термiни платежiв, якi пов'язанi з дебiторською заборгованiстю та iншими фiн</w:t>
      </w:r>
      <w:r>
        <w:rPr>
          <w:rFonts w:ascii="Times New Roman CYR" w:hAnsi="Times New Roman CYR" w:cs="Times New Roman CYR"/>
          <w:sz w:val="24"/>
          <w:szCs w:val="24"/>
        </w:rPr>
        <w:t xml:space="preserve">ансовими активами, а також прогнознi потоки грошових коштiв вiд операцiйної дiяльностi.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Контроль за лiквiднiстю здiйснюється також за допомогою виконання нормативних вимог Нацiональної комiсiї, що здiйснює державне регулювання в сферi ринкiв фiнансових п</w:t>
      </w:r>
      <w:r>
        <w:rPr>
          <w:rFonts w:ascii="Times New Roman CYR" w:hAnsi="Times New Roman CYR" w:cs="Times New Roman CYR"/>
          <w:sz w:val="24"/>
          <w:szCs w:val="24"/>
        </w:rPr>
        <w:t>ослуг.</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6.20. Управлiння капiталом.</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Страхова компанiя здiйснює управлiння капiталом з метою досягнення наступних цiлей:</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зберегти спроможнiсть Товариства продовжувати свою дiяльнiсть так, щоб воно i надалi забезпечувало дохiд для учасникiв Товариства та виплати iншим зацiкавленим сторонам;</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забезпечити належний прибуток учасникам товариства завдяки встановленню цiн на послуг</w:t>
      </w:r>
      <w:r>
        <w:rPr>
          <w:rFonts w:ascii="Times New Roman CYR" w:hAnsi="Times New Roman CYR" w:cs="Times New Roman CYR"/>
          <w:sz w:val="24"/>
          <w:szCs w:val="24"/>
        </w:rPr>
        <w:t>и Товариства, що вiдповiдають рiвню ризику.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Товариства здiйснює огляд структури капiталу на щорiчнiй основi. При цьому керiвництво аналiзує вартiсть капiталу та притаманнi його складовим ризики. На основi отриманих висновкiв Товариство здiйсню</w:t>
      </w:r>
      <w:r>
        <w:rPr>
          <w:rFonts w:ascii="Times New Roman CYR" w:hAnsi="Times New Roman CYR" w:cs="Times New Roman CYR"/>
          <w:sz w:val="24"/>
          <w:szCs w:val="24"/>
        </w:rPr>
        <w:t xml:space="preserve">є регулювання капiталу шляхом залучення додаткового капiталу або фiнансування, а також шляхом  виплати дивiдендiв.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 метою вiдповiдностi вимогам законодавства в частинi розмiщення власних засобiв у Товариства iснує iнвестицiйна полiтика, що накладає певн</w:t>
      </w:r>
      <w:r>
        <w:rPr>
          <w:rFonts w:ascii="Times New Roman CYR" w:hAnsi="Times New Roman CYR" w:cs="Times New Roman CYR"/>
          <w:sz w:val="24"/>
          <w:szCs w:val="24"/>
        </w:rPr>
        <w:t>i обмеження на структуру iнвестицiйних активiв. Компанiя проводить постiйний монiторинг достатностi капiталу для вiдповiдностi вимогам до мiнiмального розмiру статутного капiталу й нормативного запасу платоспроможностi.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30 червня 2023року  розмi</w:t>
      </w:r>
      <w:r>
        <w:rPr>
          <w:rFonts w:ascii="Times New Roman CYR" w:hAnsi="Times New Roman CYR" w:cs="Times New Roman CYR"/>
          <w:sz w:val="24"/>
          <w:szCs w:val="24"/>
        </w:rPr>
        <w:t xml:space="preserve">р власного капiталу Товариства дорiвнює 71 998,0 тис.грн.. Чистi активи  компанiї перевищують розмiр статутного капiталу,  що вiдповiдає нормативним вимогам для ризикових страхових компанiй.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20 червня 2023 року було проведено обмiн нерухомого майна кварт</w:t>
      </w:r>
      <w:r>
        <w:rPr>
          <w:rFonts w:ascii="Times New Roman CYR" w:hAnsi="Times New Roman CYR" w:cs="Times New Roman CYR"/>
          <w:sz w:val="24"/>
          <w:szCs w:val="24"/>
        </w:rPr>
        <w:t>ири, розташованої за адресую м. Київ, проспект Академiка Глушкова, будинок 9-д квартира 74 вартiстю 2 163 099,41 грн. (звiт про оцiнку майна №18-230614-004 вiд 14.6.2023 виконаний ТОВ "ОК "ГАРАНТ СЕРВIС" на квартиру за адресую м. Київ, проспект Берестейськ</w:t>
      </w:r>
      <w:r>
        <w:rPr>
          <w:rFonts w:ascii="Times New Roman CYR" w:hAnsi="Times New Roman CYR" w:cs="Times New Roman CYR"/>
          <w:sz w:val="24"/>
          <w:szCs w:val="24"/>
        </w:rPr>
        <w:t>ий (назва до перейменування проспект Перемоги) будинок2 квартира 74 вартiстю 2 000 485,15 грн. (звiт про оцiнку майна №18-230616-001 вiд 16.06.2023 виконаний ТОВ "ЦЕНТР НЕЗАЛЕЖНОЇ ЕКСПЕРНОЇ ОЦIНКИ").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Обмiн вiдбувся на пiдставi Договору мiни нерухомого май</w:t>
      </w:r>
      <w:r>
        <w:rPr>
          <w:rFonts w:ascii="Times New Roman CYR" w:hAnsi="Times New Roman CYR" w:cs="Times New Roman CYR"/>
          <w:sz w:val="24"/>
          <w:szCs w:val="24"/>
        </w:rPr>
        <w:t>на вiд 20 червня 2023 року (посвiдчений Тереховою К.I. приватним нотарiусом Київського мiського нотарiального округу), укладеного мiж Яхницею Олександром Iгоровичем, який є власником iстотної участi у ПрАТ "СК "Сатiс" в розмiрi 24,622807% (23,494646% прямо</w:t>
      </w:r>
      <w:r>
        <w:rPr>
          <w:rFonts w:ascii="Times New Roman CYR" w:hAnsi="Times New Roman CYR" w:cs="Times New Roman CYR"/>
          <w:sz w:val="24"/>
          <w:szCs w:val="24"/>
        </w:rPr>
        <w:t>ї участi та 1,128161% опосередкованої участi) та ПрАТ "СК "САТIС".</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Дозвiл (згоду) на проведення обмiну надано генеральному директору ПрАТ "СК "САТIС" Яхницi Iгорю Олександровичу Загальними зборами акцiонерiв (Протокол №51 вiд 26.04.2023)</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Проведено об'єдн</w:t>
      </w:r>
      <w:r>
        <w:rPr>
          <w:rFonts w:ascii="Times New Roman CYR" w:hAnsi="Times New Roman CYR" w:cs="Times New Roman CYR"/>
          <w:sz w:val="24"/>
          <w:szCs w:val="24"/>
        </w:rPr>
        <w:t>ання квартири за адресою м. Київ, проспект Берестейський (назва до перейменування проспект Перемоги) будинок2 квартира 74 з квартирою за адресою м. Київ, проспект Берестейський (назва до перейменування проспект Перемоги) будинок2 квартира 75. Пiсля об'єдна</w:t>
      </w:r>
      <w:r>
        <w:rPr>
          <w:rFonts w:ascii="Times New Roman CYR" w:hAnsi="Times New Roman CYR" w:cs="Times New Roman CYR"/>
          <w:sz w:val="24"/>
          <w:szCs w:val="24"/>
        </w:rPr>
        <w:t>ння виконано перепланування та переведення об'єкту до нежитлового фонду. Вiдомостi про право власностi внесено до Державного реєстру речових прав 28 червня 2023 року.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27 червня 2023 року прийнято, як внесок до статутного капiталу ПрАТ "СК "САТIС" вiд Яхни</w:t>
      </w:r>
      <w:r>
        <w:rPr>
          <w:rFonts w:ascii="Times New Roman CYR" w:hAnsi="Times New Roman CYR" w:cs="Times New Roman CYR"/>
          <w:sz w:val="24"/>
          <w:szCs w:val="24"/>
        </w:rPr>
        <w:t>цi Олени Iгорiвни, яка є власницею 8,47234% акцiй у статутному капiталi ПрАТ "СК "САТIС" та власницею опосередкованої участi в розмiрi 0,624773 %, нежитлове примiщення за адресою м. Київ, вул. Саперно-Слобiдська, 22 примiщення 304. Внесок оформлено Актом п</w:t>
      </w:r>
      <w:r>
        <w:rPr>
          <w:rFonts w:ascii="Times New Roman CYR" w:hAnsi="Times New Roman CYR" w:cs="Times New Roman CYR"/>
          <w:sz w:val="24"/>
          <w:szCs w:val="24"/>
        </w:rPr>
        <w:t>рийому-передачi майна, що вноситься до статутного капiталу ПрАТ "СК "САТIС" вiд 27 червня 2023 року (посвiдчений Тереховою К.I. приватним нотарiусом Київського мiського нотарiального округу).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Дозвiл (згоду) на пiдписання акту надано генеральному директору</w:t>
      </w:r>
      <w:r>
        <w:rPr>
          <w:rFonts w:ascii="Times New Roman CYR" w:hAnsi="Times New Roman CYR" w:cs="Times New Roman CYR"/>
          <w:sz w:val="24"/>
          <w:szCs w:val="24"/>
        </w:rPr>
        <w:t xml:space="preserve"> ПрАТ "СК "САТIС" Яхницi Iгорю Олександровичу Позачерговими Загальними зборами акцiонерiв (Протокол №52 вiд 26.06.2023). Оскiльки Вiдповiдно до ст. 2 закону України "Про страхування" при створеннi страховика-резидента або збiльшеннi зареєстрованого статутн</w:t>
      </w:r>
      <w:r>
        <w:rPr>
          <w:rFonts w:ascii="Times New Roman CYR" w:hAnsi="Times New Roman CYR" w:cs="Times New Roman CYR"/>
          <w:sz w:val="24"/>
          <w:szCs w:val="24"/>
        </w:rPr>
        <w:t>ого капiталу статутний капiтал повинен бути сплачений виключно в грошовiй формi, нежитлове примiщення, розташоване за адресою: м. Київ, вул. Саперно-Слобiдська, 22 примiщення 304 може бути внеском до статутного капiталу виключно пiсля переведення його у гр</w:t>
      </w:r>
      <w:r>
        <w:rPr>
          <w:rFonts w:ascii="Times New Roman CYR" w:hAnsi="Times New Roman CYR" w:cs="Times New Roman CYR"/>
          <w:sz w:val="24"/>
          <w:szCs w:val="24"/>
        </w:rPr>
        <w:t>ошову форму. Протоколом Наглядової ради №9 вiд 03 липня 2023 року вирiшено здiйснити реалiзацiю нежитлового примiщення, розташованого за адресою: м. Київ, вул. Саперно-Слобiдська, 22 примiщення 304 з подальшим внесенням грошових коштiв вiд продажу зазначен</w:t>
      </w:r>
      <w:r>
        <w:rPr>
          <w:rFonts w:ascii="Times New Roman CYR" w:hAnsi="Times New Roman CYR" w:cs="Times New Roman CYR"/>
          <w:sz w:val="24"/>
          <w:szCs w:val="24"/>
        </w:rPr>
        <w:t xml:space="preserve">ого майна до статутного фонду Товариства. Реалiзацiю здiйснити у вiдповiдностi до оцiнки, виконаної ТОВ "ЦЕНТР НЕЗАЛЕЖНОЇ ЕКСПЕРТНОЇ ОЦIНКИ" 14.06.2023, за 18 954 635,46 грн. (вiсiмнадцять мiльйонiв дев'ятсот п'ятдесят чотири тисячi шiстсот тридцять п'ять </w:t>
      </w:r>
      <w:r>
        <w:rPr>
          <w:rFonts w:ascii="Times New Roman CYR" w:hAnsi="Times New Roman CYR" w:cs="Times New Roman CYR"/>
          <w:sz w:val="24"/>
          <w:szCs w:val="24"/>
        </w:rPr>
        <w:t xml:space="preserve">грн. 46 коп.)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Договiр на реалiзацiю зазначеного примiщення доручити пiдписати Генеральному директору Товариства Яхницi Iгорю Олександровичу.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6.21. Операцiйнi  ризики  та   полiтична  ситуацiя в Українi.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Хоча в економiчнiй ситуацiї України помiтнi тенденцiї до покращення, економiчна перспектива України в багатьох випадках залежить вiд ефективностi економiчних заходiв, фiнансових механiзмiв i монетарної полiтики, якi застосовує уряд, а також розвиток фiскал</w:t>
      </w:r>
      <w:r>
        <w:rPr>
          <w:rFonts w:ascii="Times New Roman CYR" w:hAnsi="Times New Roman CYR" w:cs="Times New Roman CYR"/>
          <w:sz w:val="24"/>
          <w:szCs w:val="24"/>
        </w:rPr>
        <w:t>ьної, правової i полiтичної системи.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Українське податкове, валютне i митне законодавство досить часто мiняється i має суперечливе трактування. Нещодавнi подiї, якi вiдбулись в Українi показали, що податковi органи можуть зайняти бiльш жорстку позицiю при </w:t>
      </w:r>
      <w:r>
        <w:rPr>
          <w:rFonts w:ascii="Times New Roman CYR" w:hAnsi="Times New Roman CYR" w:cs="Times New Roman CYR"/>
          <w:sz w:val="24"/>
          <w:szCs w:val="24"/>
        </w:rPr>
        <w:t xml:space="preserve">трактуваннi законодавства i перевiрцi податкових розрахункiв, i як наслiдок можуть бути донарахованi податки, пенi, штрафи.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 думку керiвництва Компанiї, станом на 3103.2023р., вiдповiднi положення законодавства  iнтерпретованi ним  коректо, тому  ймовi</w:t>
      </w:r>
      <w:r>
        <w:rPr>
          <w:rFonts w:ascii="Times New Roman CYR" w:hAnsi="Times New Roman CYR" w:cs="Times New Roman CYR"/>
          <w:sz w:val="24"/>
          <w:szCs w:val="24"/>
        </w:rPr>
        <w:t>рнiсть збереження фiнансового стану, в якому знаходиться Товариство у зв'язку з податковим, валютним i митним законодавством є досить високою. У випадках, коли на думку керiвництва Компанiї iснують значнi сумнiви у збереженi зазначеного стану Компанiї, у ф</w:t>
      </w:r>
      <w:r>
        <w:rPr>
          <w:rFonts w:ascii="Times New Roman CYR" w:hAnsi="Times New Roman CYR" w:cs="Times New Roman CYR"/>
          <w:sz w:val="24"/>
          <w:szCs w:val="24"/>
        </w:rPr>
        <w:t>iнансовiй звiтностi визнаються вiдповiднi зобов'язання.</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Стабiлiзацiя економiки України у досяжному майбутньому залежить вiд успiшностi заходiв, якi проводить уряд, та забезпечення тривалої фiнансової пiдтримки України з боку мiжнародних донорiв та мiжнаро</w:t>
      </w:r>
      <w:r>
        <w:rPr>
          <w:rFonts w:ascii="Times New Roman CYR" w:hAnsi="Times New Roman CYR" w:cs="Times New Roman CYR"/>
          <w:sz w:val="24"/>
          <w:szCs w:val="24"/>
        </w:rPr>
        <w:t>дних фiнансових установ.</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стежить за розвитком поточної ситуацiї та, за необхiдностi i наскiльки це можливо, вживає заходiв для мiнiмiзацiї будь-яких негативних наслiдкiв. Подальше погiршення полiтичних, макроекономiчних та/або зовнiшньоторгове</w:t>
      </w:r>
      <w:r>
        <w:rPr>
          <w:rFonts w:ascii="Times New Roman CYR" w:hAnsi="Times New Roman CYR" w:cs="Times New Roman CYR"/>
          <w:sz w:val="24"/>
          <w:szCs w:val="24"/>
        </w:rPr>
        <w:t>льних умов може i надалi негативним чином впливати на фiнансовий стан та результати дiяльностi Компанiї у такий спосiб, що наразi не може бути визначений.</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6.22. Очiкуваний вплив спалаху коронавiрусу COVID-19 та воєнного стану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 початку 2020 року спалах к</w:t>
      </w:r>
      <w:r>
        <w:rPr>
          <w:rFonts w:ascii="Times New Roman CYR" w:hAnsi="Times New Roman CYR" w:cs="Times New Roman CYR"/>
          <w:sz w:val="24"/>
          <w:szCs w:val="24"/>
        </w:rPr>
        <w:t>оронавiрусу COVID-19 розповсюдився по всьому свiту, вплинувши на свiтову економiку та фiнансовi ринки. Внаслiдок невизначеностi i тривалостi подiй, пов'язаних зi сполохом коронавiрусу COVID-19, Товариство не має практичної можливостi точно та надiйно оцiни</w:t>
      </w:r>
      <w:r>
        <w:rPr>
          <w:rFonts w:ascii="Times New Roman CYR" w:hAnsi="Times New Roman CYR" w:cs="Times New Roman CYR"/>
          <w:sz w:val="24"/>
          <w:szCs w:val="24"/>
        </w:rPr>
        <w:t xml:space="preserve">ти кiлькiсний вплив зазначених подiй на фiнансовий стан i фiнансовi результати дiяльностi в 2022 роцi.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 24 лютого 2022 року здiйснено вiйськовий  напад Росiї на територiю України. Ми звертаємо увагу на питання введення воєнного стану в Українi з 24.02.2</w:t>
      </w:r>
      <w:r>
        <w:rPr>
          <w:rFonts w:ascii="Times New Roman CYR" w:hAnsi="Times New Roman CYR" w:cs="Times New Roman CYR"/>
          <w:sz w:val="24"/>
          <w:szCs w:val="24"/>
        </w:rPr>
        <w:t>022р. на пiдставi Указа президента України "Про введення воєнного стану в Українi"  №64/2022 вiд 24.02.2022р.) Наслiдки збройного конфлiкту, який вiдбувається в Українi, вiдчуваються у рiзноманiтних сферах життєдiяльностi та функцiонування пiдприємств, сус</w:t>
      </w:r>
      <w:r>
        <w:rPr>
          <w:rFonts w:ascii="Times New Roman CYR" w:hAnsi="Times New Roman CYR" w:cs="Times New Roman CYR"/>
          <w:sz w:val="24"/>
          <w:szCs w:val="24"/>
        </w:rPr>
        <w:t xml:space="preserve">пiльства i держави в цiлому. Проведення бойових дiй в України якi тривають i на час надання цiєї фiнансової звiтностi призводить до суттєвого погiршення загального економiчного стану та поглиблення  кризи. Полiпшення економiчної ситуацiї в країнi залежить </w:t>
      </w:r>
      <w:r>
        <w:rPr>
          <w:rFonts w:ascii="Times New Roman CYR" w:hAnsi="Times New Roman CYR" w:cs="Times New Roman CYR"/>
          <w:sz w:val="24"/>
          <w:szCs w:val="24"/>
        </w:rPr>
        <w:t>в першу чергу вiд  тривалостi вiйськової агресiї Росiйської Федерацiї проти України, а також  сукупностi економiчних, фiскальних та правових заходiв, якi будуть впровадженi на протязi всього воєнного перiоду та пiсля нього. Тому, на даний момент, у зв'язку</w:t>
      </w:r>
      <w:r>
        <w:rPr>
          <w:rFonts w:ascii="Times New Roman CYR" w:hAnsi="Times New Roman CYR" w:cs="Times New Roman CYR"/>
          <w:sz w:val="24"/>
          <w:szCs w:val="24"/>
        </w:rPr>
        <w:t xml:space="preserve"> з невизначенiстю перелiку та термiнiв впровадження таких заходiв, неможливо достовiрно оцiнити ефект впливу поточної економiчної ситуацiї в країнi на майбутню дiяльнiсть компанiї.</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6.23. Операцiї з пов'язаними сторонами.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Вiдповiдно до засад, визначених </w:t>
      </w:r>
      <w:r>
        <w:rPr>
          <w:rFonts w:ascii="Times New Roman CYR" w:hAnsi="Times New Roman CYR" w:cs="Times New Roman CYR"/>
          <w:sz w:val="24"/>
          <w:szCs w:val="24"/>
        </w:rPr>
        <w:t>МСБО 24 "Розкриття iнформацiї про пов'язанi сторони" зв'язана сторона - це фiзична або юридична особа, пов'язанi з суб'єктом господарювання, що складає свою фiнансову звiтнiсть. Сторони зазвичай вважаються пов'язаними, якщо вони знаходяться пiд спiльним ко</w:t>
      </w:r>
      <w:r>
        <w:rPr>
          <w:rFonts w:ascii="Times New Roman CYR" w:hAnsi="Times New Roman CYR" w:cs="Times New Roman CYR"/>
          <w:sz w:val="24"/>
          <w:szCs w:val="24"/>
        </w:rPr>
        <w:t xml:space="preserve">нтролем або якщо одна сторона має можливiсть контролювати iншу або може мати значний вплив на iншу сторону при прийняттi фiнансових чи операцiйних рiшень. Пов'язаними особами для Товариства: є особи, якi мають суттєвий вплив на Товариство, зокрема фiзична </w:t>
      </w:r>
      <w:r>
        <w:rPr>
          <w:rFonts w:ascii="Times New Roman CYR" w:hAnsi="Times New Roman CYR" w:cs="Times New Roman CYR"/>
          <w:sz w:val="24"/>
          <w:szCs w:val="24"/>
        </w:rPr>
        <w:t>особа або близький родич такої особи є пов'язаною стороною iз Товариство, якщо така особа: контролює Товариство, або здiйснює спiльний контроль над ним; має суттєвий вплив на Товариство; є членом провiдного управлiнського персоналу Товариства, або материнс</w:t>
      </w:r>
      <w:r>
        <w:rPr>
          <w:rFonts w:ascii="Times New Roman CYR" w:hAnsi="Times New Roman CYR" w:cs="Times New Roman CYR"/>
          <w:sz w:val="24"/>
          <w:szCs w:val="24"/>
        </w:rPr>
        <w:t xml:space="preserve">ького пiдприємства. Суб'єкт господарювання є пов'язаним iз Товариством, якщо виконується будь-яка з таких умов: суб'єкт господарювання та Товариство, є членами однiєї групи (а це означає, що кожне материнське пiдприємство, дочiрнє пiдприємство або дочiрнє </w:t>
      </w:r>
      <w:r>
        <w:rPr>
          <w:rFonts w:ascii="Times New Roman CYR" w:hAnsi="Times New Roman CYR" w:cs="Times New Roman CYR"/>
          <w:sz w:val="24"/>
          <w:szCs w:val="24"/>
        </w:rPr>
        <w:t>пiдприємство пiд спiльним контролем є пов'язанi одне з одним); один суб'єкт господарювання є асоцiйованим пiдприємством або спiльним пiдприємством iншого суб'єкта господарювання (чи асоцiйованим пiдприємством або спiльним пiдприємством члена групи, до якої</w:t>
      </w:r>
      <w:r>
        <w:rPr>
          <w:rFonts w:ascii="Times New Roman CYR" w:hAnsi="Times New Roman CYR" w:cs="Times New Roman CYR"/>
          <w:sz w:val="24"/>
          <w:szCs w:val="24"/>
        </w:rPr>
        <w:t xml:space="preserve"> належить iнший суб'єкт господарювання); обидва суб'єкти господарювання є спiльними пiдприємствами однiєї третьої сторони; один суб'єкт господарювання є спiльним пiдприємством третього суб'єкта господарювання, а iнший суб'єкт господарювання є асоцiйованим </w:t>
      </w:r>
      <w:r>
        <w:rPr>
          <w:rFonts w:ascii="Times New Roman CYR" w:hAnsi="Times New Roman CYR" w:cs="Times New Roman CYR"/>
          <w:sz w:val="24"/>
          <w:szCs w:val="24"/>
        </w:rPr>
        <w:t xml:space="preserve">пiдприємством цього третього суб'єкта господарювання;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Операцiя зi пов'язаною стороною - передача ресурсiв, послуг або зобов'язань мiж суб'єктом господарювання, що звiтує (розкриває iнформацiю), та пов'язаною стороною, незалежно вiд того, чи призначається</w:t>
      </w:r>
      <w:r>
        <w:rPr>
          <w:rFonts w:ascii="Times New Roman CYR" w:hAnsi="Times New Roman CYR" w:cs="Times New Roman CYR"/>
          <w:sz w:val="24"/>
          <w:szCs w:val="24"/>
        </w:rPr>
        <w:t xml:space="preserve"> цiна.</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 xml:space="preserve">Оцiнка можливої наявностi проведення операцiй з пов'язаними сторонами проводиться Товариством  в кожному фiнансовому роцi за допомогою аналiзу балансу вiдповiдної пов'язаної сторони та стану ринку, на якому така сторона веде дiяльнiсть.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Пов'я</w:t>
      </w:r>
      <w:r>
        <w:rPr>
          <w:rFonts w:ascii="Times New Roman CYR" w:hAnsi="Times New Roman CYR" w:cs="Times New Roman CYR"/>
          <w:sz w:val="24"/>
          <w:szCs w:val="24"/>
        </w:rPr>
        <w:t>заними особами для Товариства: є акцiонери емiтента; особи, частка яких становить понад  20% у статутному капiталi Товариства; посадовi особи Товариства та члени їхнiх сiмей; особи, що дiють вiд iменi Товариства за вiдповiдним дорученням, або особи, вiд iм</w:t>
      </w:r>
      <w:r>
        <w:rPr>
          <w:rFonts w:ascii="Times New Roman CYR" w:hAnsi="Times New Roman CYR" w:cs="Times New Roman CYR"/>
          <w:sz w:val="24"/>
          <w:szCs w:val="24"/>
        </w:rPr>
        <w:t>енi яких дiє Товариство; особи, якi вiдповiдно до законодавства України  контролюють дiяльнiсть Товариства; юридичнi особи, що контролюються Товариством або разом з ним перебувають пiд</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контролем третьої особи;  його керiвники та посадовi особи.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Сторони, як правило, вважаються пов'язаними, якщо вони перебувають пiд загальним контролем, або одна зi сторiн має можливiсть контролювати iншу або може справити значний вплив на iншу сторону при прийняттi фiнансових та операцiйних рiшень. При розглядi ко</w:t>
      </w:r>
      <w:r>
        <w:rPr>
          <w:rFonts w:ascii="Times New Roman CYR" w:hAnsi="Times New Roman CYR" w:cs="Times New Roman CYR"/>
          <w:sz w:val="24"/>
          <w:szCs w:val="24"/>
        </w:rPr>
        <w:t xml:space="preserve">жної можливої пов'язаної сторони, особлива увага придiляється змiсту вiдносин, а не тiльки їх юридичнiй формi.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ПрАТ "Страхова компанiя "САТIС" протягом звiтного перiоду спiвпрацювало з пов'язаними особами  Яхниця Олександер Iгоревич, Яхниця Олена Iгорiвн</w:t>
      </w:r>
      <w:r>
        <w:rPr>
          <w:rFonts w:ascii="Times New Roman CYR" w:hAnsi="Times New Roman CYR" w:cs="Times New Roman CYR"/>
          <w:sz w:val="24"/>
          <w:szCs w:val="24"/>
        </w:rPr>
        <w:t>а. Товариству були наданi послуги з оренди примiщень,  оренди автомобiля, та  протягом року виплачувались агентськi винагороди пов'язаним особам. Яхницi Iгорю Олександровичу виплачувалась заробiтна плата , як Генеральному  Директору ПрАТ "Страхової компанi</w:t>
      </w:r>
      <w:r>
        <w:rPr>
          <w:rFonts w:ascii="Times New Roman CYR" w:hAnsi="Times New Roman CYR" w:cs="Times New Roman CYR"/>
          <w:sz w:val="24"/>
          <w:szCs w:val="24"/>
        </w:rPr>
        <w:t>ї " САТIС". Розрахунки велися в межах звичайної господарської дiяльностi.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Суми винагород пов'язаним сторонам за   1 пiврiччя 2023 рiк складає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по заробiтнiй платi - 79,2 тис.грн.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 договором оренди примiщення - 390,0 тис.грн.;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за</w:t>
      </w:r>
      <w:r>
        <w:rPr>
          <w:rFonts w:ascii="Times New Roman CYR" w:hAnsi="Times New Roman CYR" w:cs="Times New Roman CYR"/>
          <w:sz w:val="24"/>
          <w:szCs w:val="24"/>
        </w:rPr>
        <w:t xml:space="preserve"> договорами оренди автотранспорту - 18,0 тис.грн.;</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r>
        <w:rPr>
          <w:rFonts w:ascii="Times New Roman CYR" w:hAnsi="Times New Roman CYR" w:cs="Times New Roman CYR"/>
          <w:sz w:val="24"/>
          <w:szCs w:val="24"/>
        </w:rPr>
        <w:tab/>
        <w:t>6.24. Здатнiсть товариства продовжувати дiяльнiсть на безперервнiй основi.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звiтну дату Компанiя  вiдповiдає  вимогам, якi встановленi законодавством й регулюючими органами в областi страхува</w:t>
      </w:r>
      <w:r>
        <w:rPr>
          <w:rFonts w:ascii="Times New Roman CYR" w:hAnsi="Times New Roman CYR" w:cs="Times New Roman CYR"/>
          <w:sz w:val="24"/>
          <w:szCs w:val="24"/>
        </w:rPr>
        <w:t xml:space="preserve">ння вiдносно запасу платоспроможностi, розмiщення страхових резервiв i iнших нормативiв.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Цi показники пiдтверджують здатнiсть товариства продовжувати дiяльнiсть на безперервнiй основi.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6.25.  Подiї пiсля дати балансу.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24 лютого 2022 року, у зв'язку з </w:t>
      </w:r>
      <w:r>
        <w:rPr>
          <w:rFonts w:ascii="Times New Roman CYR" w:hAnsi="Times New Roman CYR" w:cs="Times New Roman CYR"/>
          <w:sz w:val="24"/>
          <w:szCs w:val="24"/>
        </w:rPr>
        <w:t>вiйськовою агресiєю Росiйської Федерацiї проти України, Указом Президента України введено воєнний стан в Українi, якiй дiє до дати затвердження звiтностi.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Зазначенi вище подiї  є такими, що мають суттєвий вплив на дiяльнiсть i розвиток Товариства, та можу</w:t>
      </w:r>
      <w:r>
        <w:rPr>
          <w:rFonts w:ascii="Times New Roman CYR" w:hAnsi="Times New Roman CYR" w:cs="Times New Roman CYR"/>
          <w:sz w:val="24"/>
          <w:szCs w:val="24"/>
        </w:rPr>
        <w:t>ть спричинити невизначеностi щодо безперервної дiяльностi Товариства.</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Економiчнi наслiдки вiйськової агресiї Росiйської Федерацiї проти України не можуть не вплинути на дiяльнiсть Товариства. Керiвництво здiйснює економiчну оцiнку такого впливу на подальшу дiяльнiсть Товариства та вiдповiдно корегує плани та здiйснює невiдкл</w:t>
      </w:r>
      <w:r>
        <w:rPr>
          <w:rFonts w:ascii="Times New Roman CYR" w:hAnsi="Times New Roman CYR" w:cs="Times New Roman CYR"/>
          <w:sz w:val="24"/>
          <w:szCs w:val="24"/>
        </w:rPr>
        <w:t>аднi кроки, направленi на пiдтримку життєдiяльностi Компанiї та забезпечення стабiльного обслуговування клiєнтiв та гарантованостi виплат страхових вiдшкодувань.   Враховуючи досвiд роботи Товариства впродовж року в умовах воєнного стану, керiвництво вважа</w:t>
      </w:r>
      <w:r>
        <w:rPr>
          <w:rFonts w:ascii="Times New Roman CYR" w:hAnsi="Times New Roman CYR" w:cs="Times New Roman CYR"/>
          <w:sz w:val="24"/>
          <w:szCs w:val="24"/>
        </w:rPr>
        <w:t>є, що Компанiя зможе  продовжувати дiяльнiсть i в майбутньому за виключенням розвитку катастрофiчних подiй (окупацiї значних територiй, застосування зброї масового ураження). Товариство в умовах воєнного стану та вiйськових дiй продовжує роботу, забезпечує</w:t>
      </w:r>
      <w:r>
        <w:rPr>
          <w:rFonts w:ascii="Times New Roman CYR" w:hAnsi="Times New Roman CYR" w:cs="Times New Roman CYR"/>
          <w:sz w:val="24"/>
          <w:szCs w:val="24"/>
        </w:rPr>
        <w:t xml:space="preserve"> приймання звернень застрахованих осiб 24/7, здiйснює врегулювання страхових випадкiв та виплату страхових вiдшкодувань по всiй пiдконтрольнiй територiї  України, крiм зон активних бойових дiй.  Спiвробiтники компанiї працюють як в режимi дистанцiйного дос</w:t>
      </w:r>
      <w:r>
        <w:rPr>
          <w:rFonts w:ascii="Times New Roman CYR" w:hAnsi="Times New Roman CYR" w:cs="Times New Roman CYR"/>
          <w:sz w:val="24"/>
          <w:szCs w:val="24"/>
        </w:rPr>
        <w:t xml:space="preserve">тупу, так i на своїх робочих мiсцях в офiсах Товариства, в залежностi вiд свого фiзичного перебування.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Вiйна з Росiєю та шкода, яка завдається Українi щодня, є значним фактором невизначеностi. Станом на дату затвердження цiєї фiнансової звiтностi керiвн</w:t>
      </w:r>
      <w:r>
        <w:rPr>
          <w:rFonts w:ascii="Times New Roman CYR" w:hAnsi="Times New Roman CYR" w:cs="Times New Roman CYR"/>
          <w:sz w:val="24"/>
          <w:szCs w:val="24"/>
        </w:rPr>
        <w:t>ицтво Компанiї не має можливостi у повному обсязi оцiнити остаточний вплив цього вторгнення в Україну на спiвробiтникiв, фiнансовий стан та результати дiяльностi Компанiї. Компанiя також не може прогнозувати тривалiсть вiйни, можливiсть посилення її iнтенс</w:t>
      </w:r>
      <w:r>
        <w:rPr>
          <w:rFonts w:ascii="Times New Roman CYR" w:hAnsi="Times New Roman CYR" w:cs="Times New Roman CYR"/>
          <w:sz w:val="24"/>
          <w:szCs w:val="24"/>
        </w:rPr>
        <w:t>ивностi або вплив мiграцiї на свою дiяльнiсть.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наразi здiйснює фiнансово-господарську дiяльнiсть вiдповiдно до принципiв безперервностi дiяльностi та має впевненiсть в продовженi такої дiяльностi i в майбутньому.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Керiвник</w:t>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r>
      <w:r>
        <w:rPr>
          <w:rFonts w:ascii="Times New Roman CYR" w:hAnsi="Times New Roman CYR" w:cs="Times New Roman CYR"/>
          <w:sz w:val="24"/>
          <w:szCs w:val="24"/>
        </w:rPr>
        <w:tab/>
        <w:t>________________</w:t>
      </w:r>
      <w:r>
        <w:rPr>
          <w:rFonts w:ascii="Times New Roman CYR" w:hAnsi="Times New Roman CYR" w:cs="Times New Roman CYR"/>
          <w:sz w:val="24"/>
          <w:szCs w:val="24"/>
        </w:rPr>
        <w:t xml:space="preserve">_____ </w:t>
      </w:r>
      <w:r>
        <w:rPr>
          <w:rFonts w:ascii="Times New Roman CYR" w:hAnsi="Times New Roman CYR" w:cs="Times New Roman CYR"/>
          <w:sz w:val="24"/>
          <w:szCs w:val="24"/>
        </w:rPr>
        <w:tab/>
      </w:r>
      <w:r>
        <w:rPr>
          <w:rFonts w:ascii="Times New Roman CYR" w:hAnsi="Times New Roman CYR" w:cs="Times New Roman CYR"/>
          <w:sz w:val="24"/>
          <w:szCs w:val="24"/>
        </w:rPr>
        <w:tab/>
        <w:t xml:space="preserve">I.О. Яхниця </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ХV. Проміжний звіт керівництва</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проводить власну полiтику стосовно клiєнтiв, ресурсiв та вкладень у вiдповiднiсть iз завданнями стратегiчного розвитку та забезпечення їх адекватнос</w:t>
      </w:r>
      <w:r>
        <w:rPr>
          <w:rFonts w:ascii="Times New Roman CYR" w:hAnsi="Times New Roman CYR" w:cs="Times New Roman CYR"/>
          <w:sz w:val="24"/>
          <w:szCs w:val="24"/>
        </w:rPr>
        <w:t>тi вимогам ринку та очiкуванням суспiльства.</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Злиття, приєднання, подiл, видiлення Товариства у звiтному перiодi не вiдбувалось.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та акцiонери мають намiр i в подальшому розвивати дiяльнiсть Товариства в Українi. Товариство виконує ключовi норм</w:t>
      </w:r>
      <w:r>
        <w:rPr>
          <w:rFonts w:ascii="Times New Roman CYR" w:hAnsi="Times New Roman CYR" w:cs="Times New Roman CYR"/>
          <w:sz w:val="24"/>
          <w:szCs w:val="24"/>
        </w:rPr>
        <w:t>ативи дiяльностi.</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Полiтична та економiчна ситуацiя в Українi залишалася нестабiльною в результатi введення воєнного стану, пов'язаного iз здiйсненням повномасштабної збоєної агресiї з боку РФ. Уряд країни продовжує впроваджувати комплексну</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програму струк</w:t>
      </w:r>
      <w:r>
        <w:rPr>
          <w:rFonts w:ascii="Times New Roman CYR" w:hAnsi="Times New Roman CYR" w:cs="Times New Roman CYR"/>
          <w:sz w:val="24"/>
          <w:szCs w:val="24"/>
        </w:rPr>
        <w:t>турних реформ, спрямовану на усунення iснуючих диспропорцiй суспiльно-економiчного середовища з метою забезпечення умови для вiдновлення економiки.</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Ключовими ризиками для стабiлiзацiї суспiльно-економiчного середовища в Українi у найближчому майбутньому є</w:t>
      </w:r>
      <w:r>
        <w:rPr>
          <w:rFonts w:ascii="Times New Roman CYR" w:hAnsi="Times New Roman CYR" w:cs="Times New Roman CYR"/>
          <w:sz w:val="24"/>
          <w:szCs w:val="24"/>
        </w:rPr>
        <w:t>: невизначенiсть, яка пов'язана iз запровадженням та тривалiстю воєнного стану в Українi, безпека спiвробiтникiв, безперервне функцiонування Товариства, невизначенiсть у вiдновленнi повноцiнної спiвпрацi з МВФ, триваюча нестабiльнiсть на традицiйних експор</w:t>
      </w:r>
      <w:r>
        <w:rPr>
          <w:rFonts w:ascii="Times New Roman CYR" w:hAnsi="Times New Roman CYR" w:cs="Times New Roman CYR"/>
          <w:sz w:val="24"/>
          <w:szCs w:val="24"/>
        </w:rPr>
        <w:t>тних товарних ринках країни, слабкiсть нацiональної валюти, та залежнiсть</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країни вiд зовнiшнiх запозичень. Негативний розвиток подiй у полiтичнiй ситуацiї, макроекономiчних умовах та/або умовах зовнiшньої торгiвлi</w:t>
      </w:r>
      <w:r>
        <w:rPr>
          <w:rFonts w:ascii="Times New Roman CYR" w:hAnsi="Times New Roman CYR" w:cs="Times New Roman CYR"/>
          <w:sz w:val="24"/>
          <w:szCs w:val="24"/>
        </w:rPr>
        <w:t xml:space="preserve"> є можливим i може негативно впливати на фiнансовий стан та результати дiяльностi ПрАТ "СК "САТIС" .</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Промiжний звiт керiвництва включає достовiрне та об'єктивне подання iнформацiї. Керiвництво Товариства стверджує, що, наскiльки це їм вiдомо, промiжна фiн</w:t>
      </w:r>
      <w:r>
        <w:rPr>
          <w:rFonts w:ascii="Times New Roman CYR" w:hAnsi="Times New Roman CYR" w:cs="Times New Roman CYR"/>
          <w:sz w:val="24"/>
          <w:szCs w:val="24"/>
        </w:rPr>
        <w:t>ансова звiтнiсть, пiдготовлена вiдповiдно до стандартiв бухгалтерського облiку, згiдно iз Законом України "Про бухгалтерський облiк та фiнансову звiтнiсть", мiстить достовiрне та об'єктивне подання iнформацiї про стан активiв, пасивiв, фiнансовий стан, при</w:t>
      </w:r>
      <w:r>
        <w:rPr>
          <w:rFonts w:ascii="Times New Roman CYR" w:hAnsi="Times New Roman CYR" w:cs="Times New Roman CYR"/>
          <w:sz w:val="24"/>
          <w:szCs w:val="24"/>
        </w:rPr>
        <w:t>бутки та збитки емiтента.</w:t>
      </w: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A00C5F">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850" w:right="850" w:bottom="850" w:left="1400" w:header="720" w:footer="720" w:gutter="0"/>
          <w:cols w:space="720"/>
          <w:noEndnote/>
        </w:sectPr>
      </w:pPr>
    </w:p>
    <w:p w:rsidR="00000000" w:rsidRDefault="00A00C5F">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ХVІ. Твердження щодо проміжної інформації</w:t>
      </w:r>
    </w:p>
    <w:p w:rsidR="00000000" w:rsidRDefault="00A00C5F">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Керiвництво Товариства стверджує, що, наскiльки це їм вiдомо, промiжна фiнансова звiтнiсть, пiдготовлена вiдповiдно до стандартiв бухгалтерського облiку, згiдно iз Законом </w:t>
      </w:r>
      <w:r>
        <w:rPr>
          <w:rFonts w:ascii="Times New Roman CYR" w:hAnsi="Times New Roman CYR" w:cs="Times New Roman CYR"/>
          <w:sz w:val="24"/>
          <w:szCs w:val="24"/>
        </w:rPr>
        <w:t>України "Про бухгалтерський облiк та фiнансову звiтнiсть", мiстить достовiрне та об'єктивне подання iнформацiї про стан активiв, пасивiв, фiнансовий стан, прибутки та збитки емiтента.</w:t>
      </w:r>
    </w:p>
    <w:p w:rsidR="00A00C5F" w:rsidRDefault="00A00C5F">
      <w:pPr>
        <w:widowControl w:val="0"/>
        <w:autoSpaceDE w:val="0"/>
        <w:autoSpaceDN w:val="0"/>
        <w:adjustRightInd w:val="0"/>
        <w:spacing w:after="0" w:line="240" w:lineRule="auto"/>
        <w:rPr>
          <w:rFonts w:ascii="Times New Roman CYR" w:hAnsi="Times New Roman CYR" w:cs="Times New Roman CYR"/>
          <w:sz w:val="24"/>
          <w:szCs w:val="24"/>
        </w:rPr>
      </w:pPr>
    </w:p>
    <w:sectPr w:rsidR="00A00C5F">
      <w:pgSz w:w="12240" w:h="15840"/>
      <w:pgMar w:top="850" w:right="850" w:bottom="850" w:left="14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1D4"/>
    <w:rsid w:val="005851D4"/>
    <w:rsid w:val="00A00C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E23EDD45-29A8-4565-AEB1-8B63E55D6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74</Pages>
  <Words>21068</Words>
  <Characters>120090</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tkosenko</dc:creator>
  <cp:keywords/>
  <dc:description/>
  <cp:lastModifiedBy>tkosenko</cp:lastModifiedBy>
  <cp:revision>2</cp:revision>
  <dcterms:created xsi:type="dcterms:W3CDTF">2023-12-27T11:53:00Z</dcterms:created>
  <dcterms:modified xsi:type="dcterms:W3CDTF">2023-12-27T11:53:00Z</dcterms:modified>
</cp:coreProperties>
</file>